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r>
        <w:t>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n'intervient pas pour le protéger.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p>
      <w:pPr>
        <w:pStyle w:val="Heading2"/>
      </w:pPr>
      <w:r>
        <w:t>Les biens mal acquis: la fortune compradore devant les juges</w:t>
      </w:r>
    </w:p>
    <w:p>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r>
        <w:t>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r>
        <w:t>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r>
        <w:t>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r>
        <w:t>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r>
        <w:t>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r>
        <w:t>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pPr>
        <w:spacing w:before="40" w:after="120"/>
        <w:ind w:left="567"/>
        <w:pBdr>
          <w:left w:val="single" w:sz="18" w:space="8" w:color="D4A017"/>
        </w:pBdr>
      </w:pPr>
      <w:r>
        <w:rPr>
          <w:i/>
          <w:color w:val="8B1A1A"/>
          <w:sz w:val="20"/>
        </w:rPr>
        <w:t>« Il est des cycles inévitables dans l'histoire sociale: c'est désormais au tour de la race noire de prévaloir dans le monde.» — Mouammar Kadhafi</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L'enfant du désert</w:t>
      </w:r>
    </w:p>
    <w:p>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r>
        <w:t>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pPr>
        <w:pStyle w:val="Heading2"/>
      </w:pPr>
      <w:r>
        <w:t>L'argent du panafricanisme</w:t>
      </w:r>
    </w:p>
    <w:p>
      <w:r>
        <w:t>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r>
        <w:t>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L'EMPREINTE AFRICAINE DE KADHAFI (2000-2010)</w:t>
            </w:r>
          </w:p>
        </w:tc>
      </w:tr>
      <w:tr>
        <w:tc>
          <w:tcPr>
            <w:tcW w:type="dxa" w:w="6624"/>
            <w:shd w:val="clear" w:fill="FFF0EE"/>
          </w:tcPr>
          <w:p>
            <w:r>
              <w:rPr>
                <w:rFonts w:ascii="FreeSans" w:hAnsi="FreeSans"/>
                <w:color w:val="0A0A0A"/>
                <w:sz w:val="18"/>
              </w:rPr>
              <w:t>Malibya: environ 100 000 hectares de terres agricoles aménagées au Mali</w:t>
            </w:r>
          </w:p>
        </w:tc>
      </w:tr>
      <w:tr>
        <w:tc>
          <w:tcPr>
            <w:tcW w:type="dxa" w:w="6624"/>
            <w:shd w:val="clear" w:fill="FFF0EE"/>
          </w:tcPr>
          <w:p>
            <w:r>
              <w:rPr>
                <w:rFonts w:ascii="FreeSans" w:hAnsi="FreeSans"/>
                <w:color w:val="0A0A0A"/>
                <w:sz w:val="18"/>
              </w:rPr>
              <w:t>Oilibya: plus de 200 stations-service réparties à travers le continent</w:t>
            </w:r>
          </w:p>
        </w:tc>
      </w:tr>
      <w:tr>
        <w:tc>
          <w:tcPr>
            <w:tcW w:type="dxa" w:w="6624"/>
            <w:shd w:val="clear" w:fill="FFF0EE"/>
          </w:tcPr>
          <w:p>
            <w:r>
              <w:rPr>
                <w:rFonts w:ascii="FreeSans" w:hAnsi="FreeSans"/>
                <w:color w:val="0A0A0A"/>
                <w:sz w:val="18"/>
              </w:rPr>
              <w:t>Afriqiyah Airways: une compagnie « low cost» pour faire voyager les Africains à prix réduit</w:t>
            </w:r>
          </w:p>
        </w:tc>
      </w:tr>
      <w:tr>
        <w:tc>
          <w:tcPr>
            <w:tcW w:type="dxa" w:w="6624"/>
            <w:shd w:val="clear" w:fill="FFF0EE"/>
          </w:tcPr>
          <w:p>
            <w:r>
              <w:rPr>
                <w:rFonts w:ascii="FreeSans" w:hAnsi="FreeSans"/>
                <w:color w:val="0A0A0A"/>
                <w:sz w:val="18"/>
              </w:rPr>
              <w:t>RASCOM: un satellite de communication libérant l'Afrique de la location des satellites occidentaux</w:t>
            </w:r>
          </w:p>
        </w:tc>
      </w:tr>
      <w:tr>
        <w:tc>
          <w:tcPr>
            <w:tcW w:type="dxa" w:w="6624"/>
            <w:shd w:val="clear" w:fill="FFF0EE"/>
          </w:tcPr>
          <w:p>
            <w:r>
              <w:rPr>
                <w:rFonts w:ascii="FreeSans" w:hAnsi="FreeSans"/>
                <w:color w:val="0A0A0A"/>
                <w:sz w:val="18"/>
              </w:rPr>
              <w:t>Plus de 20 milliards de dollars investis sur la période — davantage que la Banque mondiale ou le FMI</w:t>
            </w:r>
          </w:p>
        </w:tc>
      </w:tr>
    </w:tbl>
    <w:p/>
    <w:p>
      <w:pPr>
        <w:pStyle w:val="Heading2"/>
      </w:pPr>
      <w:r>
        <w:t>L'architecte de l'Union africaine</w:t>
      </w:r>
    </w:p>
    <w:p>
      <w:r>
        <w:t>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Quatre leçons pour l'Afrique</w:t>
      </w:r>
    </w:p>
    <w:p>
      <w:r>
        <w:t>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r>
        <w:t>Cette dernière leçon n'est pas abstraite. Sept mois de frappes l'ont écrite dans la chair d'un homme et dans le destin d'un pays. Il faut maintenant raconter comment.</w:t>
      </w:r>
    </w:p>
    <w:p>
      <w:pPr>
        <w:pStyle w:val="Heading2"/>
      </w:pPr>
      <w:r>
        <w:t>Mars-octobre 2011: chronologie d'une destruction</w:t>
      </w:r>
    </w:p>
    <w:p>
      <w:r>
        <w:t>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il est aussi tout sauf neutre, et on le lira comme tel. Reste un fait que nul ne conteste: la vitesse à laquelle des manifestations sont devenues une guerre civile internationalisée.</w:t>
      </w:r>
    </w:p>
    <w:p>
      <w:r>
        <w:t>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Cette lecture est contestée et émane d'une source partisane.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hommes de la chute</w:t>
      </w:r>
    </w:p>
    <w:p>
      <w:r>
        <w:t>Une fois le mandat de protection mué en guerre de renversement, restait à savoir qui prendrait le pays. Trois hommes disent la nature réelle de la rébellion que la coalition a portée au pouvoir.</w:t>
      </w:r>
    </w:p>
    <w:p>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r>
        <w:t>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pPr>
        <w:pStyle w:val="Heading2"/>
      </w:pPr>
      <w:r>
        <w:t>L'islamiste utile</w:t>
      </w:r>
    </w:p>
    <w:p>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r>
        <w:t>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r>
        <w:t>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et on la pèse comme telle.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L'OCRS: la vraie raison, nommée à la tribune de l'ONU</w:t>
      </w:r>
    </w:p>
    <w:p>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r>
        <w:t>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Ces citations, rapportées par une source engagée, ne peuvent être retenues au même rang que les rapports parlementaires ou les auditions à huis clos.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pPr>
        <w:pStyle w:val="Heading2"/>
      </w:pPr>
      <w:r>
        <w:t>L'aveu du stratège: « pour les intérêts de la France »</w:t>
      </w:r>
    </w:p>
    <w:p>
      <w:r>
        <w:t>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r>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r>
        <w:t>Lecointre lâche pourtant la phrase qui dissout tous les alibis. Selon les propos qui lui sont attribués — rapportés avec la prudence due à une source unique —, « on ne fait pas la guerre pour la démocratie mais pour les intérêts de la France». Si la formule est exacte, elle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r>
        <w:t>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La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(source engagée déjà rencontrée aux chapitres précédents) désigne ce dispositif comme une guerre de quatrième génération. Sa lecture est partisane; le mécanisme qu'elle pointe — faire saisir les leviers de la crédibilité internationale pour asphyxier économiquement un État souverain — est, lui, documenté dans d'autres contextes géopolitiques. Ce que la Centrafrique a subi à partir de 2020, les États de l'AES en expérimenteront les variantes dès 2021.</w:t>
      </w:r>
    </w:p>
    <w:p>
      <w:r>
        <w:t>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Tiani l'avait annoncé</w:t>
      </w:r>
    </w:p>
    <w:p>
      <w:r>
        <w:t>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L'allégation repose sur une source unique — Tiani lui-même — et doit être maniée comme telle. Mais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r>
        <w:t>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Boganda: le nom comme programme fédéral</w:t>
      </w:r>
    </w:p>
    <w:p>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r>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Montpellier 2021: la société civile comme instrument</w:t>
      </w:r>
    </w:p>
    <w:p>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pStyle w:val="Heading2"/>
      </w:pPr>
      <w:r>
        <w:t>La séquence de Nairobi, mai 2026, au crible des faits</w:t>
      </w:r>
    </w:p>
    <w:p>
      <w: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L'INTERVIEW DU 12 MAI, AU CRIBLE DES FAITS</w:t>
            </w:r>
          </w:p>
        </w:tc>
      </w:tr>
      <w:tr>
        <w:tc>
          <w:tcPr>
            <w:tcW w:type="dxa" w:w="6624"/>
            <w:shd w:val="clear" w:fill="FFF0EE"/>
          </w:tcPr>
          <w:p>
            <w:r>
              <w:rPr>
                <w:rFonts w:ascii="FreeSans" w:hAnsi="FreeSans"/>
                <w:color w:val="0A0A0A"/>
                <w:sz w:val="18"/>
              </w:rPr>
              <w:t>« Venue à la demande de Keïta» en 2013: Serval démarre avant l'élection de Keïta; plan Sahel décidé dès 2008-2009 (ch. 15)</w:t>
            </w:r>
          </w:p>
        </w:tc>
      </w:tr>
      <w:tr>
        <w:tc>
          <w:tcPr>
            <w:tcW w:type="dxa" w:w="6624"/>
            <w:shd w:val="clear" w:fill="FFF0EE"/>
          </w:tcPr>
          <w:p>
            <w:r>
              <w:rPr>
                <w:rFonts w:ascii="FreeSans" w:hAnsi="FreeSans"/>
                <w:color w:val="0A0A0A"/>
                <w:sz w:val="18"/>
              </w:rPr>
              <w:t>« Terroristes venus du nord»: armes issues des arsenaux libyens de 2011, ouverts par l'intervention franco-otanienne (ch. 11)</w:t>
            </w:r>
          </w:p>
        </w:tc>
      </w:tr>
      <w:tr>
        <w:tc>
          <w:tcPr>
            <w:tcW w:type="dxa" w:w="6624"/>
            <w:shd w:val="clear" w:fill="FFF0EE"/>
          </w:tcPr>
          <w:p>
            <w:r>
              <w:rPr>
                <w:rFonts w:ascii="FreeSans" w:hAnsi="FreeSans"/>
                <w:color w:val="0A0A0A"/>
                <w:sz w:val="18"/>
              </w:rPr>
              <w:t>Kidal reprochée à la transition: interdite aux FAMa par l'armée française en 2013, reprise par les FAMa en 2023 (ch. 16)</w:t>
            </w:r>
          </w:p>
        </w:tc>
      </w:tr>
      <w:tr>
        <w:tc>
          <w:tcPr>
            <w:tcW w:type="dxa" w:w="6624"/>
            <w:shd w:val="clear" w:fill="FFF0EE"/>
          </w:tcPr>
          <w:p>
            <w:r>
              <w:rPr>
                <w:rFonts w:ascii="FreeSans" w:hAnsi="FreeSans"/>
                <w:color w:val="0A0A0A"/>
                <w:sz w:val="18"/>
              </w:rPr>
              <w:t>« Milices russes préférées à l'antiterrorisme»: c'est le général Burkhard qui range FAMa et Wagner dos à dos (ch. 15)</w:t>
            </w:r>
          </w:p>
        </w:tc>
      </w:tr>
      <w:tr>
        <w:tc>
          <w:tcPr>
            <w:tcW w:type="dxa" w:w="6624"/>
            <w:shd w:val="clear" w:fill="FFF0EE"/>
          </w:tcPr>
          <w:p>
            <w:r>
              <w:rPr>
                <w:rFonts w:ascii="FreeSans" w:hAnsi="FreeSans"/>
                <w:color w:val="0A0A0A"/>
                <w:sz w:val="18"/>
              </w:rPr>
              <w:t>« Ingratitude»: aveu d'un rapport de force perdu; zones jihadistes triplées en sept ans de Barkhane (ch. 13)</w:t>
            </w:r>
          </w:p>
        </w:tc>
      </w:tr>
      <w:tr>
        <w:tc>
          <w:tcPr>
            <w:tcW w:type="dxa" w:w="6624"/>
            <w:shd w:val="clear" w:fill="FFF0EE"/>
          </w:tcPr>
          <w:p>
            <w:r>
              <w:rPr>
                <w:rFonts w:ascii="FreeSans" w:hAnsi="FreeSans"/>
                <w:color w:val="0A0A0A"/>
                <w:sz w:val="18"/>
              </w:rPr>
              <w:t>« Fausses informations»: l'appui ex-légionnaires/GUR confirmé par une source sécuritaire française sur RTL, non démenti (ch. 20)</w:t>
            </w:r>
          </w:p>
        </w:tc>
      </w:tr>
      <w:tr>
        <w:tc>
          <w:tcPr>
            <w:tcW w:type="dxa" w:w="6624"/>
            <w:shd w:val="clear" w:fill="FFF0EE"/>
          </w:tcPr>
          <w:p>
            <w:r>
              <w:rPr>
                <w:rFonts w:ascii="FreeSans" w:hAnsi="FreeSans"/>
                <w:color w:val="0A0A0A"/>
                <w:sz w:val="18"/>
              </w:rPr>
              <w:t>« Partenariat à parité, bases renommées»: définition même de la recomposition; présence française expulsée, non renégociée (ch. 29)</w:t>
            </w:r>
          </w:p>
        </w:tc>
      </w:tr>
    </w:tbl>
    <w:p/>
    <w:p>
      <w: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SOMMET D'AFRICA FORWARD, AU CRIBLE DES FAITS</w:t>
            </w:r>
          </w:p>
        </w:tc>
      </w:tr>
      <w:tr>
        <w:tc>
          <w:tcPr>
            <w:tcW w:type="dxa" w:w="6624"/>
            <w:shd w:val="clear" w:fill="FFF0EE"/>
          </w:tcPr>
          <w:p>
            <w:r>
              <w:rPr>
                <w:rFonts w:ascii="FreeSans" w:hAnsi="FreeSans"/>
                <w:color w:val="0A0A0A"/>
                <w:sz w:val="18"/>
              </w:rPr>
              <w:t>Afrique du Sud absente: Ramaphosa désinvité au profit du Kenya, sous pression américaine selon des sources que Paris dément — une puissance qui n'arbitre plus seule</w:t>
            </w:r>
          </w:p>
        </w:tc>
      </w:tr>
      <w:tr>
        <w:tc>
          <w:tcPr>
            <w:tcW w:type="dxa" w:w="6624"/>
            <w:shd w:val="clear" w:fill="FFF0EE"/>
          </w:tcPr>
          <w:p>
            <w:r>
              <w:rPr>
                <w:rFonts w:ascii="FreeSans" w:hAnsi="FreeSans"/>
                <w:color w:val="0A0A0A"/>
                <w:sz w:val="18"/>
              </w:rPr>
              <w:t>« Jamais un pré carré»: la quête d'« États pivots» anglophones avoue le pré carré perdu qu'elle cherche à remplacer</w:t>
            </w:r>
          </w:p>
        </w:tc>
      </w:tr>
      <w:tr>
        <w:tc>
          <w:tcPr>
            <w:tcW w:type="dxa" w:w="6624"/>
            <w:shd w:val="clear" w:fill="FFF0EE"/>
          </w:tcPr>
          <w:p>
            <w:r>
              <w:rPr>
                <w:rFonts w:ascii="FreeSans" w:hAnsi="FreeSans"/>
                <w:color w:val="0A0A0A"/>
                <w:sz w:val="18"/>
              </w:rPr>
              <w:t>« Nous sommes les vrais panafricanistes»: on revendique le mot quand on l'a perdu (Banda Kani; Djerba, 2022)</w:t>
            </w:r>
          </w:p>
        </w:tc>
      </w:tr>
      <w:tr>
        <w:tc>
          <w:tcPr>
            <w:tcW w:type="dxa" w:w="6624"/>
            <w:shd w:val="clear" w:fill="FFF0EE"/>
          </w:tcPr>
          <w:p>
            <w:r>
              <w:rPr>
                <w:rFonts w:ascii="FreeSans" w:hAnsi="FreeSans"/>
                <w:color w:val="0A0A0A"/>
                <w:sz w:val="18"/>
              </w:rPr>
              <w:t>« Ni faire ni défaire les gouvernements depuis 2017»: démenti par Quignolot, Vésilier, les 5 milliards burkinabè, l'armée fantôme (ch. 20)</w:t>
            </w:r>
          </w:p>
        </w:tc>
      </w:tr>
      <w:tr>
        <w:tc>
          <w:tcPr>
            <w:tcW w:type="dxa" w:w="6624"/>
            <w:shd w:val="clear" w:fill="FFF0EE"/>
          </w:tcPr>
          <w:p>
            <w:r>
              <w:rPr>
                <w:rFonts w:ascii="FreeSans" w:hAnsi="FreeSans"/>
                <w:color w:val="0A0A0A"/>
                <w:sz w:val="18"/>
              </w:rPr>
              <w:t>« On aime les peuples, pas les régimes»: le procédé « société civile» de Montpellier 2021, reconduit à l'échelle continentale</w:t>
            </w:r>
          </w:p>
        </w:tc>
      </w:tr>
      <w:tr>
        <w:tc>
          <w:tcPr>
            <w:tcW w:type="dxa" w:w="6624"/>
            <w:shd w:val="clear" w:fill="FFF0EE"/>
          </w:tcPr>
          <w:p>
            <w:r>
              <w:rPr>
                <w:rFonts w:ascii="FreeSans" w:hAnsi="FreeSans"/>
                <w:color w:val="0A0A0A"/>
                <w:sz w:val="18"/>
              </w:rPr>
              <w:t>Loi de restitution des biens culturels: acte réel, mais levier le moins coûteux — n'engage ni le CFA, ni les contrats, ni la guerre proxy</w:t>
            </w:r>
          </w:p>
        </w:tc>
      </w:tr>
    </w:tbl>
    <w:p/>
    <w:p>
      <w: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Les quatre leviers de la transformation</w:t>
      </w:r>
    </w:p>
    <w:p>
      <w:r>
        <w:t>L'Hiver Noir dont parle Ibrahim Traoré n'est pas une métaphore — c'est un programme. Pour le traverser, l'AES doit actionner simultanément quatre leviers que la logique de dépendance avait, depuis soixante ans, verrouillés l'un après l'autre.</w:t>
      </w:r>
    </w:p>
    <w:p>
      <w:r>
        <w:rPr>
          <w:b/>
        </w:rPr>
        <w:t>Économie :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r>
        <w:rPr>
          <w:b/>
        </w:rPr>
        <w:t>Militaire :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r>
        <w:rPr>
          <w:b/>
        </w:rPr>
        <w:t>Culturel et cognitif :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r>
        <w:rPr>
          <w:b/>
        </w:rPr>
        <w:t>Politique et diplomatique : la cohésion comme arme.</w:t>
      </w:r>
      <w:r>
        <w:t xml:space="preserv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OCRS — Organisation commune des régions sahariennes (loi française du 10 janvier 1957)</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Belhadj, Abdelhakim — chef jihadiste libyen, gouverneur militaire de Tripoli après 2011. ch. 11.</w:t>
      </w:r>
    </w:p>
    <w:p>
      <w:pPr>
        <w:pStyle w:val="ListBullet"/>
      </w:pPr>
      <w:r>
        <w:t>Benoist-Méchin, Jacques — écrivain français, auteur d'</w:t>
      </w:r>
      <w:r>
        <w:rPr>
          <w:i/>
        </w:rPr>
        <w:t>Un printemps arabe</w:t>
      </w:r>
      <w:r>
        <w:t xml:space="preserve"> (1959). ch. 11.</w:t>
      </w:r>
    </w:p>
    <w:p>
      <w:pPr>
        <w:pStyle w:val="ListBullet"/>
      </w:pPr>
      <w:r>
        <w:t>Boganda, Barthélemy — fondateur de la Centrafrique, théoricien des « États-Unis d'Afrique latine», mort en 1959. ch. 22.</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Haftar, Khalifa — officier libyen passé à l'opposition, homme fort de la Cyrénaïque après 2014. ch. 11.</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Lecointre, François — chef d'état-major des armées françaises (2017-2021), grand chancelier de la Légion d'honneur. ch. 15.</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11, ch. 29.</w:t>
      </w:r>
    </w:p>
    <w:p>
      <w:pPr>
        <w:pStyle w:val="ListBullet"/>
      </w:pPr>
      <w:r>
        <w:t>Michel, Luc — militant pro-Kadhafi, animateur du réseau européen des comités révolutionnaires libyens (source engagée). ch. 11, ch. 15, ch. 29, ch. 30.</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Pérouse de Montclos, Marc-Antoine — chercheur français, spécialiste des conflits sahéliens. ch. 15.</w:t>
      </w:r>
    </w:p>
    <w:p>
      <w:pPr>
        <w:pStyle w:val="ListBullet"/>
      </w:pPr>
      <w:r>
        <w:t xml:space="preserve">Pondi, Jean-Emmanuel — politologue camerounais, auteur de </w:t>
      </w:r>
      <w:r>
        <w:rPr>
          <w:i/>
        </w:rPr>
        <w:t>Vie et mort de Mouammar Kadhafi</w:t>
      </w:r>
      <w:r>
        <w:t>. ch. 11.</w:t>
      </w:r>
    </w:p>
    <w:p>
      <w:pPr>
        <w:pStyle w:val="ListBullet"/>
      </w:pPr>
      <w:r>
        <w:t>Saïf al-Islam Kadhafi — fils de Mouammar Kadhafi, chef de l'aile « libérale» du régime en 2011. ch. 11.</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Younes, Abdel Fattah — ministre de Kadhafi rallié aux insurgés, assassiné en juillet 2011. ch. 11.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L'Express (2024) — « scénario noir» d'effondrement du Mali élaboré avec une quarantaine d'experts; filiation Libye-Sahel, doctrine des « efforts souterrains» vers les sociétés civiles.</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Général François Lecointre, ancien chef d'état-major des armées (2017-2021) — « l'échec</w:t>
      </w:r>
    </w:p>
    <w:p>
      <w:r>
        <w:t>de nos engagements au Sahel»; « on ne fait pas la guerre pour la démocratie mais pour les</w:t>
      </w:r>
    </w:p>
    <w:p>
      <w:r>
        <w:t>intérêts de la France» (propos rapportés via une source unique, à confirmer).</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