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80" w:before="240"/>
        <w:ind w:left="0" w:firstLine="0"/>
        <w:rPr>
          <w:rFonts w:ascii="Garamond" w:hAnsi="Garamond"/>
        </w:rPr>
      </w:pPr>
      <w:r>
        <w:rPr>
          <w:rFonts w:ascii="Garamond" w:hAnsi="Garamond"/>
          <w:b/>
          <w:iCs/>
        </w:rPr>
        <w:t>AVANT-PROPOS</w:t>
      </w:r>
      <w:r>
        <w:rPr>
          <w:rFonts w:ascii="Garamond" w:hAnsi="Garamond"/>
          <w:b/>
          <w:i/>
        </w:rPr>
        <w:t xml:space="preserve"> — Méthode et rigueur analytique</w:t>
      </w:r>
    </w:p>
    <w:p w14:paraId="687780C1" w14:textId="77777777" w:rsidR="00124B22" w:rsidRPr="00F01E86" w:rsidRDefault="00000000">
      <w:pPr>
        <w:spacing w:after="80" w:before="240"/>
        <w:ind w:left="0" w:firstLine="0"/>
        <w:rPr>
          <w:rFonts w:ascii="Garamond" w:hAnsi="Garamond"/>
        </w:rPr>
      </w:pPr>
      <w:r>
        <w:rPr>
          <w:rFonts w:ascii="Garamond" w:hAnsi="Garamond"/>
          <w:b/>
          <w:iCs/>
        </w:rPr>
        <w:t xml:space="preserve">PROLOGUE </w:t>
      </w:r>
      <w:r>
        <w:rPr>
          <w:rFonts w:ascii="Garamond" w:hAnsi="Garamond"/>
          <w:b/>
          <w:i/>
        </w:rPr>
        <w:t>— La villa de Niamey</w:t>
      </w:r>
    </w:p>
    <w:p w14:paraId="4B935264" w14:textId="77777777" w:rsidR="00124B22" w:rsidRPr="00F01E86" w:rsidRDefault="00000000">
      <w:pPr>
        <w:spacing w:after="80" w:before="240"/>
        <w:ind w:left="0" w:firstLine="0"/>
        <w:rPr>
          <w:rFonts w:ascii="Garamond" w:hAnsi="Garamond"/>
        </w:rPr>
      </w:pPr>
      <w:r>
        <w:rPr>
          <w:rFonts w:ascii="Garamond" w:hAnsi="Garamond"/>
          <w:b/>
          <w:iCs/>
        </w:rPr>
        <w:t>INTRODUCTION</w:t>
      </w:r>
      <w:r>
        <w:rPr>
          <w:rFonts w:ascii="Garamond" w:hAnsi="Garamond"/>
          <w:b/>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before="240"/>
        <w:ind w:left="0" w:firstLine="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0" w:before="60"/>
        <w:ind w:left="850" w:firstLine="0"/>
        <w:rPr>
          <w:rFonts w:ascii="Garamond" w:hAnsi="Garamond"/>
        </w:rPr>
      </w:pPr>
      <w:r>
        <w:rPr>
          <w:rFonts w:ascii="Garamond" w:hAnsi="Garamond"/>
          <w:b w:val="0"/>
        </w:rPr>
        <w:t xml:space="preserve">    Chapitre 1 — Les empires africains précoloniaux</w:t>
      </w:r>
    </w:p>
    <w:p w14:paraId="721D2D2D" w14:textId="77777777" w:rsidR="00124B22" w:rsidRPr="00F01E86" w:rsidRDefault="00000000">
      <w:pPr>
        <w:spacing w:after="0" w:before="60"/>
        <w:ind w:left="850" w:firstLine="0"/>
        <w:rPr>
          <w:rFonts w:ascii="Garamond" w:hAnsi="Garamond"/>
        </w:rPr>
      </w:pPr>
      <w:r>
        <w:rPr>
          <w:rFonts w:ascii="Garamond" w:hAnsi="Garamond"/>
          <w:b w:val="0"/>
        </w:rPr>
        <w:t xml:space="preserve">    Chapitre 2 — La conquête coloniale et ses résistances</w:t>
      </w:r>
    </w:p>
    <w:p w14:paraId="645B01D2" w14:textId="77777777" w:rsidR="00124B22" w:rsidRPr="00F01E86" w:rsidRDefault="00000000">
      <w:pPr>
        <w:spacing w:after="0" w:before="60"/>
        <w:ind w:left="850" w:firstLine="0"/>
        <w:rPr>
          <w:rFonts w:ascii="Garamond" w:hAnsi="Garamond"/>
        </w:rPr>
      </w:pPr>
      <w:r>
        <w:rPr>
          <w:rFonts w:ascii="Garamond" w:hAnsi="Garamond"/>
          <w:b w:val="0"/>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before="240"/>
        <w:ind w:left="0" w:firstLine="0"/>
        <w:rPr>
          <w:rFonts w:ascii="Garamond" w:hAnsi="Garamond"/>
        </w:rPr>
      </w:pPr>
      <w:r>
        <w:rPr>
          <w:rFonts w:ascii="Garamond" w:hAnsi="Garamond"/>
          <w:b/>
          <w:bCs/>
          <w:sz w:val="22"/>
        </w:rPr>
        <w:t>PARTIE II — L'EMPIRE DU MENSONGE</w:t>
      </w:r>
    </w:p>
    <w:p w14:paraId="7D8FFAFB" w14:textId="77777777" w:rsidR="00124B22" w:rsidRPr="00F01E86" w:rsidRDefault="00000000">
      <w:pPr>
        <w:spacing w:after="0" w:before="60"/>
        <w:ind w:left="850" w:firstLine="0"/>
        <w:rPr>
          <w:rFonts w:ascii="Garamond" w:hAnsi="Garamond"/>
        </w:rPr>
      </w:pPr>
      <w:r>
        <w:rPr>
          <w:rFonts w:ascii="Garamond" w:hAnsi="Garamond"/>
          <w:b w:val="0"/>
        </w:rPr>
        <w:t xml:space="preserve">    Chapitre 4 — Le pacte colonial camouflé</w:t>
      </w:r>
    </w:p>
    <w:p w14:paraId="179C790E" w14:textId="77777777" w:rsidR="00124B22" w:rsidRPr="00F01E86" w:rsidRDefault="00000000">
      <w:pPr>
        <w:spacing w:after="0" w:before="60"/>
        <w:ind w:left="850" w:firstLine="0"/>
        <w:rPr>
          <w:rFonts w:ascii="Garamond" w:hAnsi="Garamond"/>
        </w:rPr>
      </w:pPr>
      <w:r>
        <w:rPr>
          <w:rFonts w:ascii="Garamond" w:hAnsi="Garamond"/>
          <w:b w:val="0"/>
        </w:rPr>
        <w:t xml:space="preserve">    Chapitre 4b — La chaîne du pillage : Elf, les mallettes et les tribunaux</w:t>
      </w:r>
    </w:p>
    <w:p w14:paraId="68DCC9F4" w14:textId="77777777" w:rsidR="00124B22" w:rsidRPr="00F01E86" w:rsidRDefault="00000000">
      <w:pPr>
        <w:spacing w:after="0" w:before="60"/>
        <w:ind w:left="850" w:firstLine="0"/>
        <w:rPr>
          <w:rFonts w:ascii="Garamond" w:hAnsi="Garamond"/>
        </w:rPr>
      </w:pPr>
      <w:r>
        <w:rPr>
          <w:rFonts w:ascii="Garamond" w:hAnsi="Garamond"/>
          <w:b w:val="0"/>
        </w:rPr>
        <w:t xml:space="preserve">    Chapitre 5 — La machine extractive : CFA, uranium, or, pétrole</w:t>
      </w:r>
    </w:p>
    <w:p w14:paraId="68DCC9F4" w14:textId="77777777" w:rsidR="00124B22" w:rsidRPr="00F01E86" w:rsidRDefault="00000000">
      <w:pPr>
        <w:spacing w:after="0" w:before="60"/>
        <w:ind w:left="850" w:firstLine="0"/>
        <w:rPr>
          <w:rFonts w:ascii="Garamond" w:hAnsi="Garamond"/>
        </w:rPr>
      </w:pPr>
      <w:r>
        <w:rPr>
          <w:rFonts w:ascii="Garamond" w:hAnsi="Garamond"/>
          <w:b w:val="0"/>
        </w:rPr>
        <w:t xml:space="preserve">Chapitre 5b — Décolonisation économique : nationalisation, protectionnisme et la sortie du franc CFA</w:t>
      </w:r>
    </w:p>
    <w:p w14:paraId="793C747F" w14:textId="77777777" w:rsidR="00124B22" w:rsidRPr="00F01E86" w:rsidRDefault="00000000">
      <w:pPr>
        <w:spacing w:after="0" w:before="60"/>
        <w:ind w:left="850" w:firstLine="0"/>
        <w:rPr>
          <w:rFonts w:ascii="Garamond" w:hAnsi="Garamond"/>
        </w:rPr>
      </w:pPr>
      <w:r>
        <w:rPr>
          <w:rFonts w:ascii="Garamond" w:hAnsi="Garamond"/>
          <w:b w:val="0"/>
        </w:rPr>
        <w:t xml:space="preserve">    Chapitre 6 — L'aide publique au développement : arnaque documentée</w:t>
      </w:r>
    </w:p>
    <w:p w14:paraId="793C747F" w14:textId="77777777" w:rsidR="00124B22" w:rsidRPr="00F01E86" w:rsidRDefault="00000000">
      <w:pPr>
        <w:spacing w:after="0" w:before="60"/>
        <w:ind w:left="850" w:firstLine="0"/>
        <w:rPr>
          <w:rFonts w:ascii="Garamond" w:hAnsi="Garamond"/>
        </w:rPr>
      </w:pPr>
      <w:r>
        <w:rPr>
          <w:rFonts w:ascii="Garamond" w:hAnsi="Garamond"/>
          <w:b w:val="0"/>
        </w:rPr>
        <w:t xml:space="preserve">Chapitre 6b — Le FMI, la Banque mondiale et les assassins financiers</w:t>
      </w:r>
    </w:p>
    <w:p w14:paraId="1F4E2AB1" w14:textId="77777777" w:rsidR="00124B22" w:rsidRPr="00F01E86" w:rsidRDefault="00000000">
      <w:pPr>
        <w:spacing w:after="0" w:before="60"/>
        <w:ind w:left="850" w:firstLine="0"/>
        <w:rPr>
          <w:rFonts w:ascii="Garamond" w:hAnsi="Garamond"/>
        </w:rPr>
      </w:pPr>
      <w:r>
        <w:rPr>
          <w:rFonts w:ascii="Garamond" w:hAnsi="Garamond"/>
          <w:b w:val="0"/>
        </w:rPr>
        <w:t xml:space="preserve">    Chapitre 7 — Barkhane ou la guerre comme service après-vente</w:t>
      </w:r>
    </w:p>
    <w:p w14:paraId="14C89A33" w14:textId="77777777" w:rsidR="00124B22" w:rsidRPr="00F01E86" w:rsidRDefault="00000000">
      <w:pPr>
        <w:spacing w:after="0" w:before="60"/>
        <w:ind w:left="850" w:firstLine="0"/>
        <w:rPr>
          <w:rFonts w:ascii="Garamond" w:hAnsi="Garamond"/>
        </w:rPr>
      </w:pPr>
      <w:r>
        <w:rPr>
          <w:rFonts w:ascii="Garamond" w:hAnsi="Garamond"/>
          <w:b w:val="0"/>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before="240"/>
        <w:ind w:left="0" w:firstLine="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0" w:before="60"/>
        <w:ind w:left="850" w:firstLine="0"/>
        <w:rPr>
          <w:rFonts w:ascii="Garamond" w:hAnsi="Garamond"/>
        </w:rPr>
      </w:pPr>
      <w:r>
        <w:rPr>
          <w:rFonts w:ascii="Garamond" w:hAnsi="Garamond"/>
          <w:b w:val="0"/>
        </w:rPr>
        <w:t xml:space="preserve">    Chapitre 9 — Les aveux institutionnels français</w:t>
      </w:r>
    </w:p>
    <w:p w14:paraId="4946DCD8" w14:textId="77777777" w:rsidR="00124B22" w:rsidRPr="00F01E86" w:rsidRDefault="00000000">
      <w:pPr>
        <w:spacing w:after="0" w:before="60"/>
        <w:ind w:left="850" w:firstLine="0"/>
        <w:rPr>
          <w:rFonts w:ascii="Garamond" w:hAnsi="Garamond"/>
        </w:rPr>
      </w:pPr>
      <w:r>
        <w:rPr>
          <w:rFonts w:ascii="Garamond" w:hAnsi="Garamond"/>
          <w:b w:val="0"/>
        </w:rPr>
        <w:t xml:space="preserve">    Chapitre 10 — La doctrine de propagande : aveu d'Anne-Sophie Avé</w:t>
      </w:r>
    </w:p>
    <w:p w14:paraId="3E93364A" w14:textId="77777777" w:rsidR="00124B22" w:rsidRPr="00F01E86" w:rsidRDefault="00000000">
      <w:pPr>
        <w:spacing w:after="0" w:before="60"/>
        <w:ind w:left="850" w:firstLine="0"/>
        <w:rPr>
          <w:rFonts w:ascii="Garamond" w:hAnsi="Garamond"/>
        </w:rPr>
      </w:pPr>
      <w:r>
        <w:rPr>
          <w:rFonts w:ascii="Garamond" w:hAnsi="Garamond"/>
          <w:b w:val="0"/>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before="240"/>
        <w:ind w:left="0" w:firstLine="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0" w:before="60"/>
        <w:ind w:left="850" w:firstLine="0"/>
        <w:rPr>
          <w:rFonts w:ascii="Garamond" w:hAnsi="Garamond"/>
        </w:rPr>
      </w:pPr>
      <w:r>
        <w:rPr>
          <w:rFonts w:ascii="Garamond" w:hAnsi="Garamond"/>
          <w:b w:val="0"/>
        </w:rPr>
        <w:t xml:space="preserve">    Chapitre 12 — La CEDEAO comme instrument</w:t>
      </w:r>
    </w:p>
    <w:p w14:paraId="3A3AA4C1" w14:textId="77777777" w:rsidR="00124B22" w:rsidRPr="00F01E86" w:rsidRDefault="00000000">
      <w:pPr>
        <w:spacing w:after="0" w:before="60"/>
        <w:ind w:left="850" w:firstLine="0"/>
        <w:rPr>
          <w:rFonts w:ascii="Garamond" w:hAnsi="Garamond"/>
        </w:rPr>
      </w:pPr>
      <w:r>
        <w:rPr>
          <w:rFonts w:ascii="Garamond" w:hAnsi="Garamond"/>
          <w:b w:val="0"/>
        </w:rPr>
        <w:t xml:space="preserve">    Chapitre 13 — Les élites compradore</w:t>
      </w:r>
    </w:p>
    <w:p w14:paraId="3A3AA4C1" w14:textId="77777777" w:rsidR="00124B22" w:rsidRPr="00F01E86" w:rsidRDefault="00000000">
      <w:pPr>
        <w:spacing w:after="0" w:before="60"/>
        <w:ind w:left="850" w:firstLine="0"/>
        <w:rPr>
          <w:rFonts w:ascii="Garamond" w:hAnsi="Garamond"/>
        </w:rPr>
      </w:pPr>
      <w:r>
        <w:rPr>
          <w:rFonts w:ascii="Garamond" w:hAnsi="Garamond"/>
          <w:b w:val="0"/>
        </w:rPr>
        <w:t xml:space="preserve">Chapitre 13b — Impérialisme, nazisme et la mécanique de la division africaine</w:t>
      </w:r>
    </w:p>
    <w:p w14:paraId="3A3AA4C1" w14:textId="77777777" w:rsidR="00124B22" w:rsidRPr="00F01E86" w:rsidRDefault="00000000">
      <w:pPr>
        <w:spacing w:after="0" w:before="60"/>
        <w:ind w:left="850" w:firstLine="0"/>
        <w:rPr>
          <w:rFonts w:ascii="Garamond" w:hAnsi="Garamond"/>
        </w:rPr>
      </w:pPr>
      <w:r>
        <w:rPr>
          <w:rFonts w:ascii="Garamond" w:hAnsi="Garamond"/>
          <w:b w:val="0"/>
        </w:rPr>
        <w:t xml:space="preserve">Chapitre 13c — Ouattara, Compaoré, Mobutu : portraits de la trahison instrumentalisée</w:t>
      </w:r>
    </w:p>
    <w:p w14:paraId="3A3AA4C1" w14:textId="77777777" w:rsidR="00124B22" w:rsidRPr="00F01E86" w:rsidRDefault="00000000">
      <w:pPr>
        <w:spacing w:after="0" w:before="60"/>
        <w:ind w:left="850" w:firstLine="0"/>
        <w:rPr>
          <w:rFonts w:ascii="Garamond" w:hAnsi="Garamond"/>
        </w:rPr>
      </w:pPr>
      <w:r>
        <w:rPr>
          <w:rFonts w:ascii="Garamond" w:hAnsi="Garamond"/>
          <w:b w:val="0"/>
        </w:rPr>
        <w:t>Chapitre 13d — L'audio du 17 février 2022 : Ouattara et Boubou Cissé en flagrant délit de complot</w:t>
      </w:r>
    </w:p>
    <w:p w14:paraId="76CF4FAF" w14:textId="77777777" w:rsidR="00124B22" w:rsidRPr="00F01E86" w:rsidRDefault="00000000">
      <w:pPr>
        <w:spacing w:after="0" w:before="60"/>
        <w:ind w:left="850" w:firstLine="0"/>
        <w:rPr>
          <w:rFonts w:ascii="Garamond" w:hAnsi="Garamond"/>
        </w:rPr>
      </w:pPr>
      <w:r>
        <w:rPr>
          <w:rFonts w:ascii="Garamond" w:hAnsi="Garamond"/>
          <w:b w:val="0"/>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before="240"/>
        <w:ind w:left="0" w:firstLine="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0" w:before="60"/>
        <w:ind w:left="850" w:firstLine="0"/>
        <w:rPr>
          <w:rFonts w:ascii="Garamond" w:hAnsi="Garamond"/>
        </w:rPr>
      </w:pPr>
      <w:r>
        <w:rPr>
          <w:rFonts w:ascii="Garamond" w:hAnsi="Garamond"/>
          <w:b w:val="0"/>
        </w:rPr>
        <w:t xml:space="preserve">    Chapitre 15 — La fabrique du terrorisme au Sahel</w:t>
      </w:r>
    </w:p>
    <w:p w14:paraId="0781133E" w14:textId="77777777" w:rsidR="00124B22" w:rsidRPr="00F01E86" w:rsidRDefault="00000000">
      <w:pPr>
        <w:spacing w:after="0" w:before="60"/>
        <w:ind w:left="850" w:firstLine="0"/>
        <w:rPr>
          <w:rFonts w:ascii="Garamond" w:hAnsi="Garamond"/>
        </w:rPr>
      </w:pPr>
      <w:r>
        <w:rPr>
          <w:rFonts w:ascii="Garamond" w:hAnsi="Garamond"/>
          <w:b w:val="0"/>
        </w:rPr>
        <w:t xml:space="preserve">    Chapitre 16 — Mali : la première rupture</w:t>
      </w:r>
    </w:p>
    <w:p w14:paraId="7DCBEDFD" w14:textId="77777777" w:rsidR="00124B22" w:rsidRPr="00F01E86" w:rsidRDefault="00000000">
      <w:pPr>
        <w:spacing w:after="0" w:before="60"/>
        <w:ind w:left="850" w:firstLine="0"/>
        <w:rPr>
          <w:rFonts w:ascii="Garamond" w:hAnsi="Garamond"/>
        </w:rPr>
      </w:pPr>
      <w:r>
        <w:rPr>
          <w:rFonts w:ascii="Garamond" w:hAnsi="Garamond"/>
          <w:b w:val="0"/>
        </w:rPr>
        <w:t xml:space="preserve">    Chapitre 17 — Burkina Faso : le MPSR et la doctrine Traoré</w:t>
      </w:r>
    </w:p>
    <w:p w14:paraId="1375F328" w14:textId="77777777" w:rsidR="00124B22" w:rsidRPr="00F01E86" w:rsidRDefault="00000000">
      <w:pPr>
        <w:spacing w:after="0" w:before="60"/>
        <w:ind w:left="850" w:firstLine="0"/>
        <w:rPr>
          <w:rFonts w:ascii="Garamond" w:hAnsi="Garamond"/>
        </w:rPr>
      </w:pPr>
      <w:r>
        <w:rPr>
          <w:rFonts w:ascii="Garamond" w:hAnsi="Garamond"/>
          <w:b w:val="0"/>
        </w:rPr>
        <w:lastRenderedPageBreak/>
        <w:t xml:space="preserve">    Chapitre 18 — Niger : le CNSP et le verrou final</w:t>
      </w:r>
    </w:p>
    <w:p w14:paraId="1375F328" w14:textId="77777777" w:rsidR="00124B22" w:rsidRPr="00F01E86" w:rsidRDefault="00000000">
      <w:pPr>
        <w:spacing w:after="0" w:before="60"/>
        <w:ind w:left="850" w:firstLine="0"/>
        <w:rPr>
          <w:rFonts w:ascii="Garamond" w:hAnsi="Garamond"/>
        </w:rPr>
      </w:pPr>
      <w:r>
        <w:rPr>
          <w:rFonts w:ascii="Garamond" w:hAnsi="Garamond"/>
          <w:b w:val="0"/>
        </w:rPr>
        <w:lastRenderedPageBreak/>
        <w:t xml:space="preserve">Chapitre 18b — La base d'Agadez : un accord imposé sans le consentement du Niger</w:t>
      </w:r>
    </w:p>
    <w:p w14:paraId="2EFDFCE8" w14:textId="77777777" w:rsidR="00124B22" w:rsidRPr="00F01E86" w:rsidRDefault="00000000">
      <w:pPr>
        <w:spacing w:after="0" w:before="60"/>
        <w:ind w:left="850" w:firstLine="0"/>
        <w:rPr>
          <w:rFonts w:ascii="Garamond" w:hAnsi="Garamond"/>
        </w:rPr>
      </w:pPr>
      <w:r>
        <w:rPr>
          <w:rFonts w:ascii="Garamond" w:hAnsi="Garamond"/>
          <w:b w:val="0"/>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before="240"/>
        <w:ind w:left="0" w:firstLine="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0" w:before="60"/>
        <w:ind w:left="850" w:firstLine="0"/>
        <w:rPr>
          <w:rFonts w:ascii="Garamond" w:hAnsi="Garamond"/>
        </w:rPr>
      </w:pPr>
      <w:r>
        <w:rPr>
          <w:rFonts w:ascii="Garamond" w:hAnsi="Garamond"/>
          <w:b w:val="0"/>
        </w:rPr>
        <w:t xml:space="preserve">    Chapitre 20 — Le Tchad : Mahamat Déby entre deux feux</w:t>
      </w:r>
    </w:p>
    <w:p w14:paraId="56C82684" w14:textId="77777777" w:rsidR="00124B22" w:rsidRPr="00F01E86" w:rsidRDefault="00000000">
      <w:pPr>
        <w:spacing w:after="0" w:before="60"/>
        <w:ind w:left="850" w:firstLine="0"/>
        <w:rPr>
          <w:rFonts w:ascii="Garamond" w:hAnsi="Garamond"/>
        </w:rPr>
      </w:pPr>
      <w:r>
        <w:rPr>
          <w:rFonts w:ascii="Garamond" w:hAnsi="Garamond"/>
          <w:b w:val="0"/>
        </w:rPr>
        <w:t xml:space="preserve">    Chapitre 21 — L'Algérie : médiateur ambigu</w:t>
      </w:r>
    </w:p>
    <w:p w14:paraId="56C82684" w14:textId="77777777" w:rsidR="00124B22" w:rsidRPr="00F01E86" w:rsidRDefault="00000000">
      <w:pPr>
        <w:spacing w:after="0" w:before="60"/>
        <w:ind w:left="850" w:firstLine="0"/>
        <w:rPr>
          <w:rFonts w:ascii="Garamond" w:hAnsi="Garamond"/>
        </w:rPr>
      </w:pPr>
      <w:r>
        <w:rPr>
          <w:rFonts w:ascii="Garamond" w:hAnsi="Garamond"/>
          <w:b w:val="0"/>
        </w:rPr>
        <w:t xml:space="preserve">Chapitre 21b — L'Algérie et le Mali : de la fraternité anticoloniale à la trahison</w:t>
      </w:r>
    </w:p>
    <w:p w14:paraId="577A8AFD" w14:textId="387A056D" w:rsidR="00124B22" w:rsidRPr="00F01E86" w:rsidRDefault="00000000">
      <w:pPr>
        <w:spacing w:after="0" w:before="60"/>
        <w:ind w:left="850" w:firstLine="0"/>
        <w:rPr>
          <w:rFonts w:ascii="Garamond" w:hAnsi="Garamond"/>
        </w:rPr>
      </w:pPr>
      <w:r>
        <w:rPr>
          <w:rFonts w:ascii="Garamond" w:hAnsi="Garamond"/>
          <w:b w:val="0"/>
        </w:rPr>
        <w:t xml:space="preserve">    Chapitre 22 — Russie, Chine, Turquie : partenaires ou nouveaux maîtres ?</w:t>
      </w:r>
    </w:p>
    <w:p w14:paraId="577A8AFD" w14:textId="387A056D" w:rsidR="00124B22" w:rsidRPr="00F01E86" w:rsidRDefault="00000000">
      <w:pPr>
        <w:spacing w:after="0" w:before="60"/>
        <w:ind w:left="850" w:firstLine="0"/>
        <w:rPr>
          <w:rFonts w:ascii="Garamond" w:hAnsi="Garamond"/>
        </w:rPr>
      </w:pPr>
      <w:r>
        <w:rPr>
          <w:rFonts w:ascii="Garamond" w:hAnsi="Garamond"/>
          <w:b w:val="0"/>
        </w:rPr>
        <w:t xml:space="preserve">Chapitre 22b — La Turquie et le Sahel : Erdoğan, les Bayraktar et la diplomatie du partenaire non-colonial</w:t>
      </w:r>
    </w:p>
    <w:p w14:paraId="1333017A" w14:textId="77777777" w:rsidR="00124B22" w:rsidRPr="00F01E86" w:rsidRDefault="00000000">
      <w:pPr>
        <w:spacing w:after="0" w:before="60"/>
        <w:ind w:left="850" w:firstLine="0"/>
        <w:rPr>
          <w:rFonts w:ascii="Garamond" w:hAnsi="Garamond"/>
        </w:rPr>
      </w:pPr>
      <w:r>
        <w:rPr>
          <w:rFonts w:ascii="Garamond" w:hAnsi="Garamond"/>
          <w:b w:val="0"/>
        </w:rPr>
        <w:t xml:space="preserve">    Chapitre 23 — Les États-Unis face à la recomposition</w:t>
      </w:r>
    </w:p>
    <w:p w14:paraId="26CC5893" w14:textId="77777777" w:rsidR="00124B22" w:rsidRPr="00F01E86" w:rsidRDefault="00000000">
      <w:pPr>
        <w:spacing w:after="0" w:before="60"/>
        <w:ind w:left="850" w:firstLine="0"/>
        <w:rPr>
          <w:rFonts w:ascii="Garamond" w:hAnsi="Garamond"/>
        </w:rPr>
      </w:pPr>
      <w:r>
        <w:rPr>
          <w:rFonts w:ascii="Garamond" w:hAnsi="Garamond"/>
          <w:b w:val="0"/>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before="240"/>
        <w:ind w:left="0" w:firstLine="0"/>
        <w:rPr>
          <w:rFonts w:ascii="Garamond" w:hAnsi="Garamond"/>
        </w:rPr>
      </w:pPr>
      <w:r>
        <w:rPr>
          <w:rFonts w:ascii="Garamond" w:hAnsi="Garamond"/>
          <w:b/>
          <w:bCs/>
          <w:sz w:val="22"/>
        </w:rPr>
        <w:t>PARTIE VII — LA GUERRE PROXY</w:t>
      </w:r>
    </w:p>
    <w:p w14:paraId="73C966F9" w14:textId="77777777" w:rsidR="00124B22" w:rsidRPr="00F01E86" w:rsidRDefault="00000000">
      <w:pPr>
        <w:spacing w:after="0" w:before="60"/>
        <w:ind w:left="850" w:firstLine="0"/>
        <w:rPr>
          <w:rFonts w:ascii="Garamond" w:hAnsi="Garamond"/>
        </w:rPr>
      </w:pPr>
      <w:r>
        <w:rPr>
          <w:rFonts w:ascii="Garamond" w:hAnsi="Garamond"/>
          <w:b w:val="0"/>
        </w:rPr>
        <w:t xml:space="preserve">    Chapitre 25 — L'armée fantôme de Paris</w:t>
      </w:r>
    </w:p>
    <w:p w14:paraId="10805B24" w14:textId="3C2EFA98" w:rsidR="00124B22" w:rsidRPr="00F01E86" w:rsidRDefault="00000000">
      <w:pPr>
        <w:spacing w:after="0" w:before="60"/>
        <w:ind w:left="850" w:firstLine="0"/>
        <w:rPr>
          <w:rFonts w:ascii="Garamond" w:hAnsi="Garamond"/>
        </w:rPr>
      </w:pPr>
      <w:r>
        <w:rPr>
          <w:rFonts w:ascii="Garamond" w:hAnsi="Garamond"/>
          <w:b w:val="0"/>
        </w:rPr>
        <w:t xml:space="preserve">    Chapitre 25b — Le renseignement comme arme de guerre : barbouzes, ESSD et guerre secrète en Afrique</w:t>
      </w:r>
    </w:p>
    <w:p w14:paraId="0EE00001" w14:textId="0CF6D0E4" w:rsidR="0028409C" w:rsidRDefault="00156718" w:rsidP="00156718">
      <w:pPr>
        <w:spacing w:after="0" w:before="60"/>
        <w:ind w:left="850" w:firstLine="0"/>
      </w:pPr>
      <w:r>
        <w:rPr>
          <w:rFonts w:ascii="Garamond" w:hAnsi="Garamond"/>
          <w:b w:val="0"/>
        </w:rPr>
        <w:t xml:space="preserve">           </w:t>
      </w:r>
      <w:r w:rsidR="00000000">
        <w:rPr>
          <w:rFonts w:ascii="Garamond" w:hAnsi="Garamond"/>
          <w:b w:val="0"/>
        </w:rPr>
        <w:t>Chapitre 25c — Les ONG : le visage charitable de la guerre</w:t>
      </w:r>
    </w:p>
    <w:p w14:paraId="0EE00002" w14:textId="0B76F85B" w:rsidR="0028409C" w:rsidRDefault="00156718" w:rsidP="00156718">
      <w:pPr>
        <w:spacing w:after="0" w:before="60"/>
        <w:ind w:left="850" w:firstLine="0"/>
      </w:pPr>
      <w:r>
        <w:rPr>
          <w:rFonts w:ascii="Garamond" w:hAnsi="Garamond"/>
          <w:b w:val="0"/>
        </w:rPr>
        <w:t xml:space="preserve">           </w:t>
      </w:r>
      <w:r w:rsidR="00000000">
        <w:rPr>
          <w:rFonts w:ascii="Garamond" w:hAnsi="Garamond"/>
          <w:b w:val="0"/>
        </w:rPr>
        <w:t>Chapitre 25d — La CPI : justice universelle ou justice à sens unique ?</w:t>
      </w:r>
    </w:p>
    <w:p w14:paraId="0EE00003" w14:textId="70CB5D6A" w:rsidR="0028409C" w:rsidRDefault="00156718" w:rsidP="00156718">
      <w:pPr>
        <w:spacing w:after="0" w:before="60"/>
        <w:ind w:left="850" w:firstLine="0"/>
      </w:pPr>
      <w:r>
        <w:rPr>
          <w:rFonts w:ascii="Garamond" w:hAnsi="Garamond"/>
          <w:b w:val="0"/>
        </w:rPr>
        <w:t xml:space="preserve">           Chapitre 25e — La diaspora en guerre : du vecteur d’influence au front de résistance</w:t>
      </w:r>
      <w:r w:rsidR="00000000">
        <w:rPr>
          <w:rFonts w:ascii="Garamond" w:hAnsi="Garamond"/>
          <w:b w:val="0"/>
        </w:rPr>
      </w:r>
    </w:p>
    <w:p w14:paraId="0EE00004" w14:textId="243F8942" w:rsidR="0028409C" w:rsidRDefault="00156718" w:rsidP="00156718">
      <w:pPr>
        <w:spacing w:after="0" w:before="60"/>
        <w:ind w:left="850" w:firstLine="0"/>
      </w:pPr>
      <w:r>
        <w:rPr>
          <w:rFonts w:ascii="Garamond" w:hAnsi="Garamond"/>
          <w:b w:val="0"/>
        </w:rPr>
        <w:t>Chapitre 25f — Dieu comme terrain de guerre : le religieux dans la stratégie de domination</w:t>
      </w:r>
      <w:r w:rsidR="00000000">
        <w:rPr>
          <w:rFonts w:ascii="Garamond" w:hAnsi="Garamond"/>
          <w:b w:val="0"/>
        </w:rPr>
      </w:r>
    </w:p>
    <w:p w14:paraId="27353126" w14:textId="77777777" w:rsidR="00124B22" w:rsidRPr="00F01E86" w:rsidRDefault="00000000">
      <w:pPr>
        <w:spacing w:after="0" w:before="60"/>
        <w:ind w:left="850" w:firstLine="0"/>
        <w:rPr>
          <w:rFonts w:ascii="Garamond" w:hAnsi="Garamond"/>
        </w:rPr>
      </w:pPr>
      <w:r>
        <w:rPr>
          <w:rFonts w:ascii="Garamond" w:hAnsi="Garamond"/>
          <w:b w:val="0"/>
        </w:rPr>
        <w:t xml:space="preserve">    Chapitre 26 — Sadio Camara : de l'architecte à la cible</w:t>
      </w:r>
    </w:p>
    <w:p w14:paraId="27353126" w14:textId="77777777" w:rsidR="00124B22" w:rsidRPr="00F01E86" w:rsidRDefault="00000000">
      <w:pPr>
        <w:spacing w:after="0" w:before="60"/>
        <w:ind w:left="850" w:firstLine="0"/>
        <w:rPr>
          <w:rFonts w:ascii="Garamond" w:hAnsi="Garamond"/>
        </w:rPr>
      </w:pPr>
      <w:r>
        <w:rPr>
          <w:rFonts w:ascii="Garamond" w:hAnsi="Garamond"/>
          <w:b w:val="0"/>
        </w:rPr>
        <w:t xml:space="preserve">Chapitre 26b — Tinzawaten : l'Ukraine comme plateforme de la guerre proxy au Sahel</w:t>
      </w:r>
    </w:p>
    <w:p w14:paraId="3EAB33B4" w14:textId="77777777" w:rsidR="00124B22" w:rsidRPr="00F01E86" w:rsidRDefault="00000000">
      <w:pPr>
        <w:spacing w:after="0" w:before="60"/>
        <w:ind w:left="850" w:firstLine="0"/>
        <w:rPr>
          <w:rFonts w:ascii="Garamond" w:hAnsi="Garamond"/>
        </w:rPr>
      </w:pPr>
      <w:r>
        <w:rPr>
          <w:rFonts w:ascii="Garamond" w:hAnsi="Garamond"/>
          <w:b w:val="0"/>
        </w:rPr>
        <w:t xml:space="preserve">    Chapitre 27 — Les attaques du 25 avril 2026</w:t>
      </w:r>
    </w:p>
    <w:p w14:paraId="48EB635F" w14:textId="77777777" w:rsidR="00124B22" w:rsidRPr="00F01E86" w:rsidRDefault="00000000">
      <w:pPr>
        <w:spacing w:after="0" w:before="60"/>
        <w:ind w:left="850" w:firstLine="0"/>
        <w:rPr>
          <w:rFonts w:ascii="Garamond" w:hAnsi="Garamond"/>
        </w:rPr>
      </w:pPr>
      <w:r>
        <w:rPr>
          <w:rFonts w:ascii="Garamond" w:hAnsi="Garamond"/>
          <w:b w:val="0"/>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before="240"/>
        <w:ind w:left="0" w:firstLine="0"/>
        <w:rPr>
          <w:rFonts w:ascii="Garamond" w:hAnsi="Garamond"/>
        </w:rPr>
      </w:pPr>
      <w:r>
        <w:rPr>
          <w:rFonts w:ascii="Garamond" w:hAnsi="Garamond"/>
          <w:b/>
          <w:bCs/>
          <w:sz w:val="22"/>
        </w:rPr>
        <w:t>PARTIE VIII — LES DÉFIS INTERNES DE L'AES</w:t>
      </w:r>
    </w:p>
    <w:p>
      <w:pPr>
        <w:spacing w:after="0" w:before="60"/>
        <w:ind w:left="850" w:firstLine="0"/>
      </w:pPr>
      <w:r>
        <w:rPr>
          <w:rFonts w:ascii="Garamond" w:hAnsi="Garamond"/>
          <w:b w:val="0"/>
        </w:rPr>
        <w:t>Chapitre 28b — L'Affaire Vésilier : Quand la Justice Africaine Tient Bon</w:t>
      </w:r>
    </w:p>
    <w:p w14:paraId="56434F7D" w14:textId="77777777" w:rsidR="00124B22" w:rsidRPr="00F01E86" w:rsidRDefault="00000000">
      <w:pPr>
        <w:spacing w:after="0" w:before="60"/>
        <w:ind w:left="850" w:firstLine="0"/>
        <w:rPr>
          <w:rFonts w:ascii="Garamond" w:hAnsi="Garamond"/>
        </w:rPr>
      </w:pPr>
      <w:r>
        <w:rPr>
          <w:rFonts w:ascii="Garamond" w:hAnsi="Garamond"/>
          <w:b w:val="0"/>
        </w:rPr>
        <w:t xml:space="preserve">    Chapitre 29 — La menace jihadiste persistante</w:t>
      </w:r>
    </w:p>
    <w:p w14:paraId="56434F7D" w14:textId="77777777" w:rsidR="00124B22" w:rsidRPr="00F01E86" w:rsidRDefault="00000000">
      <w:pPr>
        <w:spacing w:after="0" w:before="60"/>
        <w:ind w:left="850" w:firstLine="0"/>
        <w:rPr>
          <w:rFonts w:ascii="Garamond" w:hAnsi="Garamond"/>
        </w:rPr>
      </w:pPr>
      <w:r>
        <w:rPr>
          <w:rFonts w:ascii="Garamond" w:hAnsi="Garamond"/>
          <w:b w:val="0"/>
        </w:rPr>
        <w:t xml:space="preserve">Chapitre 29b — La vraie question démocratique dans l'AES : légitimité, institutions et infiltration</w:t>
      </w:r>
    </w:p>
    <w:p/>
    <w:p>
      <w:pPr>
        <w:pStyle w:val="Normal"/>
        <w:spacing w:before="60" w:after="0"/>
        <w:ind w:left="850" w:firstLine="0"/>
      </w:pPr>
      <w:r>
        <w:rPr>
          <w:b w:val="0"/>
        </w:rPr>
        <w:t xml:space="preserve">    Chapitre 30 — Bazoum sans le savoir : les aveux involontaires du dernier compradore</w:t>
      </w:r>
    </w:p>
    <w:p w14:paraId="0557B437" w14:textId="77777777" w:rsidR="00124B22" w:rsidRPr="00F01E86" w:rsidRDefault="00000000">
      <w:pPr>
        <w:spacing w:after="0" w:before="60"/>
        <w:ind w:left="850" w:firstLine="0"/>
        <w:rPr>
          <w:rFonts w:ascii="Garamond" w:hAnsi="Garamond"/>
        </w:rPr>
      </w:pPr>
      <w:r>
        <w:rPr>
          <w:rFonts w:ascii="Garamond" w:hAnsi="Garamond"/>
          <w:b w:val="0"/>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before="240"/>
        <w:ind w:left="0" w:firstLine="0"/>
        <w:rPr>
          <w:rFonts w:ascii="Garamond" w:hAnsi="Garamond"/>
        </w:rPr>
      </w:pPr>
      <w:r>
        <w:rPr>
          <w:rFonts w:ascii="Garamond" w:hAnsi="Garamond"/>
          <w:b/>
          <w:bCs/>
          <w:sz w:val="22"/>
        </w:rPr>
        <w:t>PARTIE IX — L'HORIZON SOUVERAIN</w:t>
      </w:r>
    </w:p>
    <w:p w14:paraId="00320000" w14:textId="77777777" w:rsidR="0028409C" w:rsidRDefault="00000000">
      <w:pPr>
        <w:spacing w:after="0" w:before="60"/>
        <w:ind w:left="850" w:firstLine="0"/>
        <w:rPr>
          <w:rFonts w:ascii="Garamond" w:hAnsi="Garamond"/>
        </w:rPr>
      </w:pPr>
      <w:r>
        <w:rPr>
          <w:rFonts w:ascii="Garamond" w:hAnsi="Garamond"/>
          <w:b w:val="0"/>
        </w:rPr>
        <w:t xml:space="preserve">    Chapitre 32 — Les morts de Barkhane : autopsie d’un mensonge d’État</w:t>
      </w:r>
    </w:p>
    <w:p w14:paraId="4D24DD7C" w14:textId="77777777" w:rsidR="00124B22" w:rsidRPr="00F01E86" w:rsidRDefault="00000000">
      <w:pPr>
        <w:spacing w:after="0" w:before="60"/>
        <w:ind w:left="850" w:firstLine="0"/>
        <w:rPr>
          <w:rFonts w:ascii="Garamond" w:hAnsi="Garamond"/>
        </w:rPr>
      </w:pPr>
      <w:r>
        <w:rPr>
          <w:rFonts w:ascii="Garamond" w:hAnsi="Garamond"/>
          <w:b w:val="0"/>
        </w:rPr>
        <w:t xml:space="preserve">    Chapitre 33 — La monnaie : briser la chaîne du CFA</w:t>
      </w:r>
    </w:p>
    <w:p w14:paraId="4D24DD7C" w14:textId="77777777" w:rsidR="00124B22" w:rsidRPr="00F01E86" w:rsidRDefault="00000000">
      <w:pPr>
        <w:spacing w:after="0" w:before="60"/>
        <w:ind w:left="850" w:firstLine="0"/>
        <w:rPr>
          <w:rFonts w:ascii="Garamond" w:hAnsi="Garamond"/>
        </w:rPr>
      </w:pPr>
      <w:r>
        <w:rPr>
          <w:rFonts w:ascii="Garamond" w:hAnsi="Garamond"/>
          <w:b w:val="0"/>
        </w:rPr>
        <w:t xml:space="preserve">Chapitre 33b — La RCA et le Sango : le bitcoin comme arme de souveraineté monétaire</w:t>
      </w:r>
    </w:p>
    <w:p w14:paraId="1A51B8CA" w14:textId="77777777" w:rsidR="00124B22" w:rsidRPr="00F01E86" w:rsidRDefault="00000000">
      <w:pPr>
        <w:spacing w:after="0" w:before="60"/>
        <w:ind w:left="850" w:firstLine="0"/>
        <w:rPr>
          <w:rFonts w:ascii="Garamond" w:hAnsi="Garamond"/>
        </w:rPr>
      </w:pPr>
      <w:r>
        <w:rPr>
          <w:rFonts w:ascii="Garamond" w:hAnsi="Garamond"/>
          <w:b w:val="0"/>
        </w:rPr>
        <w:t xml:space="preserve">    Chapitre 34 — L'armée fédérale sahélienne</w:t>
      </w:r>
    </w:p>
    <w:p w14:paraId="4C2ACF96" w14:textId="77777777" w:rsidR="00124B22" w:rsidRPr="00F01E86" w:rsidRDefault="00000000">
      <w:pPr>
        <w:spacing w:after="0" w:before="60"/>
        <w:ind w:left="850" w:firstLine="0"/>
        <w:rPr>
          <w:rFonts w:ascii="Garamond" w:hAnsi="Garamond"/>
        </w:rPr>
      </w:pPr>
      <w:r>
        <w:rPr>
          <w:rFonts w:ascii="Garamond" w:hAnsi="Garamond"/>
          <w:b w:val="0"/>
        </w:rPr>
        <w:t xml:space="preserve">    Chapitre 35 — La diaspora comme force stratégique</w:t>
      </w:r>
    </w:p>
    <w:p w14:paraId="4C2ACF96" w14:textId="77777777" w:rsidR="00124B22" w:rsidRPr="00F01E86" w:rsidRDefault="00000000">
      <w:pPr>
        <w:spacing w:after="0" w:before="60"/>
        <w:ind w:left="850" w:firstLine="0"/>
        <w:rPr>
          <w:rFonts w:ascii="Garamond" w:hAnsi="Garamond"/>
        </w:rPr>
      </w:pPr>
      <w:r>
        <w:rPr>
          <w:rFonts w:ascii="Garamond" w:hAnsi="Garamond"/>
          <w:b w:val="0"/>
        </w:rPr>
        <w:t xml:space="preserve">Chapitre 35b — L'éducation comme arme de souveraineté</w:t>
      </w:r>
    </w:p>
    <w:p w14:paraId="216A7BCB" w14:textId="77777777" w:rsidR="00124B22" w:rsidRPr="00F01E86" w:rsidRDefault="00000000">
      <w:pPr>
        <w:spacing w:after="0" w:before="60"/>
        <w:ind w:left="850" w:firstLine="0"/>
        <w:rPr>
          <w:rFonts w:ascii="Garamond" w:hAnsi="Garamond"/>
        </w:rPr>
      </w:pPr>
      <w:r>
        <w:rPr>
          <w:rFonts w:ascii="Garamond" w:hAnsi="Garamond"/>
          <w:b w:val="0"/>
        </w:rPr>
        <w:t xml:space="preserve">    Chapitre 36 — Sankara avait raison</w:t>
      </w:r>
    </w:p>
    <w:p w14:paraId="0D1BED78" w14:textId="77777777" w:rsidR="00124B22" w:rsidRPr="00F01E86" w:rsidRDefault="00000000">
      <w:pPr>
        <w:spacing w:after="0" w:before="60"/>
        <w:ind w:left="850" w:firstLine="0"/>
        <w:rPr>
          <w:rFonts w:ascii="Garamond" w:hAnsi="Garamond"/>
        </w:rPr>
      </w:pPr>
      <w:r>
        <w:rPr>
          <w:rFonts w:ascii="Garamond" w:hAnsi="Garamond"/>
          <w:b w:val="0"/>
        </w:rPr>
        <w:t xml:space="preserve">    Chapitre 37 — France-Afrique 2.0 : la recomposition de la domination</w:t>
      </w:r>
    </w:p>
    <w:p w14:paraId="0EE00005" w14:textId="6A21F62B" w:rsidR="0028409C" w:rsidRDefault="00156718" w:rsidP="00156718">
      <w:pPr>
        <w:spacing w:after="0" w:before="60"/>
        <w:ind w:left="850" w:firstLine="0"/>
      </w:pPr>
      <w:r>
        <w:rPr>
          <w:rFonts w:ascii="Garamond" w:hAnsi="Garamond"/>
          <w:b w:val="0"/>
        </w:rPr>
        <w:t xml:space="preserve">            </w:t>
      </w:r>
      <w:r w:rsidR="00000000">
        <w:rPr>
          <w:rFonts w:ascii="Garamond" w:hAnsi="Garamond"/>
          <w:b w:val="0"/>
        </w:rPr>
        <w:t>Chapitre 37b — La Francophonie : le dernier empire</w:t>
      </w:r>
    </w:p>
    <w:p w14:paraId="0371DC74" w14:textId="77777777" w:rsidR="00124B22" w:rsidRPr="00F01E86" w:rsidRDefault="00000000">
      <w:pPr>
        <w:spacing w:after="0" w:before="60"/>
        <w:ind w:left="850" w:firstLine="0"/>
        <w:rPr>
          <w:rFonts w:ascii="Garamond" w:hAnsi="Garamond"/>
        </w:rPr>
      </w:pPr>
      <w:r>
        <w:rPr>
          <w:rFonts w:ascii="Garamond" w:hAnsi="Garamond"/>
          <w:b w:val="0"/>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before="240"/>
        <w:ind w:left="0" w:firstLine="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0" w:before="60"/>
        <w:ind w:left="850" w:firstLine="0"/>
        <w:rPr>
          <w:rFonts w:ascii="Garamond" w:hAnsi="Garamond"/>
        </w:rPr>
      </w:pPr>
      <w:r>
        <w:rPr>
          <w:rFonts w:ascii="Garamond" w:hAnsi="Garamond"/>
          <w:b w:val="0"/>
        </w:rPr>
        <w:t xml:space="preserve">    Chapitre 40 — L'arrogance comme doctrine : le mépris occidental en Afrique</w:t>
      </w:r>
    </w:p>
    <w:p w14:paraId="17827C39" w14:textId="77777777" w:rsidR="00124B22" w:rsidRPr="00F01E86" w:rsidRDefault="00000000">
      <w:pPr>
        <w:spacing w:after="0" w:before="60"/>
        <w:ind w:left="850" w:firstLine="0"/>
        <w:rPr>
          <w:rFonts w:ascii="Garamond" w:hAnsi="Garamond"/>
        </w:rPr>
      </w:pPr>
      <w:r>
        <w:rPr>
          <w:rFonts w:ascii="Garamond" w:hAnsi="Garamond"/>
          <w:b w:val="0"/>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jc w:val="center"/>
        <w:rPr>
          <w:color w:val="943634" w:themeColor="accent2" w:themeShade="BF"/>
        </w:rPr>
      </w:pPr>
      <w:r w:rsidRPr="00DB2B9E">
        <w:rPr>
          <w:color w:val="7B1E1E"/>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jc w:val="center"/>
      </w:pPr>
      <w:bookmarkStart w:id="0" w:name="_Hlk231332993"/>
      <w:r w:rsidRPr="00021DCF">
        <w:rPr>
          <w:rFonts w:ascii="Garamond" w:hAnsi="Garamond" w:cs="Garamond"/>
          <w:color w:val="7B1E1E"/>
        </w:rPr>
        <w:t>★ ★ ★</w:t>
      </w:r>
      <w:r w:rsidRPr="00021DCF">
        <w:rPr>
          <w:color w:val="D99594" w:themeColor="accent2" w:themeTint="99"/>
        </w:rPr>
      </w:r>
      <w:r w:rsidRPr="00021DCF">
        <w:rPr>
          <w:rFonts w:ascii="Garamond" w:hAnsi="Garamond" w:cs="Garamond"/>
          <w:color w:val="D99594" w:themeColor="accent2" w:themeTint="99"/>
        </w:rPr>
      </w:r>
      <w:r w:rsidRPr="00021DCF">
        <w:rPr>
          <w:color w:val="D99594" w:themeColor="accent2" w:themeTint="99"/>
        </w:rPr>
      </w:r>
      <w:r w:rsidRPr="00021DCF">
        <w:rPr>
          <w:rFonts w:ascii="Garamond" w:hAnsi="Garamond" w:cs="Garamond"/>
          <w:color w:val="D99594" w:themeColor="accent2" w:themeTint="99"/>
        </w:rPr>
      </w:r>
      <w:bookmarkEnd w:id="0"/>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pPr>
              <w:spacing w:before="280"/>
            </w:pPr>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spacing w:before="160" w:after="40" w:line="276" w:lineRule="auto"/>
        <w:ind w:left="680" w:right="283"/>
        <w:rPr>
          <w:rFonts w:ascii="Garamond" w:eastAsia="Georgia" w:hAnsi="Garamond" w:cs="Georgia"/>
          <w:i/>
          <w:iCs/>
          <w:color w:val="8B0000"/>
          <w:sz w:val="21"/>
          <w:szCs w:val="21"/>
        </w:rPr>
        <w:pBdr>
          <w:left w:val="single" w:sz="24" w:space="12" w:color="7B1E1E"/>
        </w:pBd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pBdr>
          <w:left w:val="single" w:sz="14" w:space="10" w:color="C8A951"/>
        </w:pBdr>
        <w:spacing w:before="160" w:after="200" w:line="276" w:lineRule="auto"/>
        <w:ind w:left="680" w:right="283"/>
        <w:rPr>
          <w:i/>
          <w:iCs/>
          <w:sz w:val="18"/>
          <w:szCs w:val="18"/>
        </w:rPr>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 — 1960 : l’indépendance confisquée</w:t>
      </w:r>
    </w:p>
    <w:p w14:paraId="6C4D2979" w14:textId="77777777" w:rsidR="006E716F" w:rsidRDefault="00000000">
      <w:pPr>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77693F29" w14:textId="77777777" w:rsidR="006E716F" w:rsidRDefault="00000000">
      <w:pPr>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pPr>
              <w:spacing w:before="280"/>
            </w:pPr>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ind w:left="2160" w:firstLine="720"/>
        <w:jc w:val="center"/>
      </w:pPr>
      <w:r w:rsidRPr="00043CA3">
        <w:rPr>
          <w:rFonts w:ascii="Garamond" w:hAnsi="Garamond" w:cs="Garamond"/>
          <w:color w:val="7B1E1E"/>
        </w:rPr>
        <w:t>★ ★ ★</w:t>
      </w:r>
      <w:r w:rsidRPr="00043CA3">
        <w:rPr>
          <w:color w:val="D99594" w:themeColor="accent2" w:themeTint="99"/>
        </w:rPr>
      </w:r>
      <w:r w:rsidRPr="00043CA3">
        <w:rPr>
          <w:rFonts w:ascii="Garamond" w:hAnsi="Garamond" w:cs="Garamond"/>
          <w:color w:val="D99594" w:themeColor="accent2" w:themeTint="99"/>
        </w:rPr>
      </w:r>
      <w:r w:rsidRPr="00043CA3">
        <w:rPr>
          <w:color w:val="D99594" w:themeColor="accent2" w:themeTint="99"/>
        </w:rPr>
      </w:r>
      <w:r w:rsidRPr="00043CA3">
        <w:rPr>
          <w:rFonts w:ascii="Garamond" w:hAnsi="Garamond" w:cs="Garamond"/>
          <w:color w:val="D99594" w:themeColor="accent2" w:themeTint="99"/>
        </w:rPr>
      </w:r>
      <w:r/>
    </w:p>
    <w:p w14:paraId="2F511D32" w14:textId="77777777" w:rsidR="006E716F" w:rsidRDefault="00000000">
      <w:r>
        <w:lastRenderedPageBreak/>
        <w:br w:type="page"/>
      </w:r>
    </w:p>
    <w:p w14:paraId="55D9C10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L’EMPIRE DU MENSONGE</w:t>
      </w:r>
    </w:p>
    <w:p w14:paraId="0E505459" w14:textId="77777777" w:rsidR="006E716F" w:rsidRDefault="00000000">
      <w:pPr>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 — Le pacte colonial camouflé</w:t>
      </w:r>
    </w:p>
    <w:p w14:paraId="0B152CF5" w14:textId="77777777" w:rsidR="006E716F" w:rsidRDefault="00000000">
      <w:pPr>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pPr>
              <w:spacing w:before="280"/>
            </w:pPr>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7744338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pPr>
              <w:spacing w:before="280"/>
            </w:pPr>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spacing w:after="200" w:line="264" w:lineRule="auto"/>
        <w:ind w:left="680" w:right="700"/>
      </w:pPr>
      <w:r>
        <w:rPr>
          <w:rFonts w:ascii="Garamond" w:eastAsia="Arial" w:hAnsi="Garamond" w:cs="Arial"/>
          <w:i/>
          <w:iCs/>
          <w:color w:val="555555"/>
          <w:sz w:val="19"/>
          <w:szCs w:val="18"/>
        </w:rPr>
        <w:t>— Loïk Le Floch-Prigent ancien dirigeant d’Elf</w:t>
      </w:r>
    </w:p>
    <w:p w14:paraId="2CAE014E"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spacing w:after="200" w:line="264" w:lineRule="auto"/>
        <w:ind w:left="680" w:right="700"/>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pPr>
              <w:spacing w:before="280"/>
            </w:pPr>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ind w:left="2160" w:firstLine="720"/>
        <w:jc w:val="center"/>
      </w:pPr>
      <w:r w:rsidRPr="00043CA3">
        <w:rPr>
          <w:rFonts w:ascii="Garamond" w:hAnsi="Garamond" w:cs="Garamond"/>
          <w:color w:val="7B1E1E"/>
        </w:rPr>
        <w:t>★ ★ ★</w:t>
      </w:r>
      <w:r w:rsidRPr="00043CA3">
        <w:rPr>
          <w:color w:val="D99594" w:themeColor="accent2" w:themeTint="99"/>
        </w:rPr>
      </w:r>
      <w:r w:rsidRPr="00043CA3">
        <w:rPr>
          <w:rFonts w:ascii="Garamond" w:hAnsi="Garamond" w:cs="Garamond"/>
          <w:color w:val="D99594" w:themeColor="accent2" w:themeTint="99"/>
        </w:rPr>
      </w:r>
      <w:r w:rsidRPr="00043CA3">
        <w:rPr>
          <w:color w:val="D99594" w:themeColor="accent2" w:themeTint="99"/>
        </w:rPr>
      </w:r>
      <w:r w:rsidRPr="00043CA3">
        <w:rPr>
          <w:rFonts w:ascii="Garamond" w:hAnsi="Garamond" w:cs="Garamond"/>
          <w:color w:val="D99594" w:themeColor="accent2" w:themeTint="99"/>
        </w:rPr>
      </w:r>
      <w:r/>
    </w:p>
    <w:p w14:paraId="1B2F15C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spacing w:after="200" w:line="264" w:lineRule="auto"/>
        <w:ind w:left="680" w:right="700"/>
      </w:pPr>
      <w:r>
        <w:rPr>
          <w:rFonts w:ascii="Garamond" w:eastAsia="Arial" w:hAnsi="Garamond" w:cs="Arial"/>
          <w:i/>
          <w:iCs/>
          <w:color w:val="555555"/>
          <w:sz w:val="19"/>
          <w:szCs w:val="18"/>
        </w:rPr>
        <w:t>— Dr Douma Jean-René, Panafrican Média TV, 10 mai 2026</w:t>
      </w:r>
    </w:p>
    <w:p w14:paraId="5CE2530C" w14:textId="77777777" w:rsidR="006E716F" w:rsidRDefault="00000000">
      <w:pPr>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pPr>
              <w:spacing w:before="280"/>
            </w:pPr>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spacing w:before="160" w:after="160"/>
        <w:jc w:val="center"/>
      </w:pPr>
      <w:r>
        <w:rPr>
          <w:color w:val="7B1E1E"/>
        </w:rPr>
        <w:t>★ ★ ★</w:t>
      </w:r>
    </w:p>
    <w:p>
      <w:pPr>
        <w:spacing w:before="0" w:after="200"/>
        <w:ind w:left="680"/>
      </w:pPr>
      <w:r>
        <w:rPr>
          <w:i/>
          <w:sz w:val="19"/>
        </w:rPr>
        <w:t>— Albert Nataici, journaliste, directeur du Cactus, Paroles Panafricanistes</w:t>
      </w:r>
    </w:p>
    <w:p>
      <w:pPr>
        <w:spacing w:before="160" w:after="40"/>
        <w:ind w:left="680"/>
        <w:pBdr>
          <w:left w:val="single" w:sz="24" w:space="12" w:color="7B1E1E"/>
        </w:pBdr>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spacing w:after="80"/>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spacing w:after="80"/>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spacing w:after="80"/>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spacing w:before="0" w:after="200"/>
        <w:ind w:left="680"/>
      </w:pPr>
      <w:r>
        <w:rPr>
          <w:i/>
          <w:sz w:val="19"/>
        </w:rPr>
        <w:t>— Albert Nataici, journaliste, Paroles Panafricanistes</w:t>
      </w:r>
    </w:p>
    <w:p>
      <w:pPr>
        <w:spacing w:before="160" w:after="40"/>
        <w:ind w:left="680"/>
        <w:pBdr>
          <w:left w:val="single" w:sz="24" w:space="12" w:color="7B1E1E"/>
        </w:pBdr>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spacing w:after="80"/>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spacing w:after="80"/>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spacing w:before="0" w:after="200"/>
        <w:ind w:left="680"/>
      </w:pPr>
      <w:r>
        <w:rPr>
          <w:i/>
          <w:sz w:val="19"/>
        </w:rPr>
        <w:t>— Albert Nataici, journaliste, Paroles Panafricanistes</w:t>
      </w:r>
    </w:p>
    <w:p>
      <w:pPr>
        <w:spacing w:before="160" w:after="40"/>
        <w:ind w:left="680"/>
        <w:pBdr>
          <w:left w:val="single" w:sz="24" w:space="12" w:color="7B1E1E"/>
        </w:pBdr>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spacing w:after="80"/>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spacing w:after="80"/>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spacing w:before="0" w:after="200"/>
        <w:ind w:left="680"/>
      </w:pPr>
      <w:r>
        <w:rPr>
          <w:i/>
          <w:sz w:val="19"/>
        </w:rPr>
        <w:t>— Albert Nataici, journaliste, directeur du Cactus, Paroles Panafricanistes</w:t>
      </w:r>
    </w:p>
    <w:p>
      <w:pPr>
        <w:spacing w:before="160" w:after="40"/>
        <w:ind w:left="680"/>
        <w:pBdr>
          <w:left w:val="single" w:sz="24" w:space="12" w:color="7B1E1E"/>
        </w:pBdr>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spacing w:after="80"/>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Pr>
      <w:r>
        <w:rPr>
          <w:rFonts w:ascii="Garamond" w:hAnsi="Garamond"/>
          <w:b w:val="0"/>
          <w:color w:val="1A1A2E"/>
          <w:sz w:val="28"/>
        </w:rP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pPr>
              <w:spacing w:before="280"/>
            </w:pPr>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spacing w:after="200" w:line="264" w:lineRule="auto"/>
        <w:ind w:left="680" w:right="700"/>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spacing w:before="160" w:after="160"/>
        <w:jc w:val="center"/>
      </w:pPr>
      <w:r>
        <w:rPr>
          <w:color w:val="7B1E1E"/>
        </w:rPr>
        <w:t>★ ★ ★</w:t>
      </w:r>
    </w:p>
    <w:p>
      <w:pPr>
        <w:spacing w:after="80"/>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spacing w:before="0" w:after="200"/>
        <w:ind w:left="680"/>
      </w:pPr>
      <w:r>
        <w:rPr>
          <w:i/>
          <w:sz w:val="19"/>
        </w:rPr>
        <w:t>— John Perkins, Confessions of an Economic Hit Man, 2004</w:t>
      </w:r>
    </w:p>
    <w:p>
      <w:pPr>
        <w:spacing w:before="160" w:after="40"/>
        <w:ind w:left="680"/>
        <w:pBdr>
          <w:left w:val="single" w:sz="24" w:space="12" w:color="7B1E1E"/>
        </w:pBdr>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spacing w:after="80"/>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spacing w:after="80"/>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spacing w:after="80"/>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spacing w:before="0" w:after="200"/>
        <w:ind w:left="680"/>
      </w:pPr>
      <w:r>
        <w:rPr>
          <w:i/>
          <w:sz w:val="19"/>
        </w:rPr>
        <w:t>— John Perkins, Confessions of an Economic Hit Man, 2004</w:t>
      </w:r>
    </w:p>
    <w:p>
      <w:pPr>
        <w:spacing w:before="160" w:after="40"/>
        <w:ind w:left="680"/>
        <w:pBdr>
          <w:left w:val="single" w:sz="24" w:space="12" w:color="7B1E1E"/>
        </w:pBdr>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spacing w:after="80"/>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spacing w:after="80"/>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spacing w:before="0" w:after="200"/>
        <w:ind w:left="680"/>
      </w:pPr>
      <w:r>
        <w:rPr>
          <w:i/>
          <w:sz w:val="19"/>
        </w:rPr>
        <w:t>— John Perkins, Confessions of an Economic Hit Man, 2004</w:t>
      </w:r>
    </w:p>
    <w:p>
      <w:pPr>
        <w:spacing w:before="160" w:after="40"/>
        <w:ind w:left="680"/>
        <w:pBdr>
          <w:left w:val="single" w:sz="24" w:space="12" w:color="7B1E1E"/>
        </w:pBdr>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spacing w:after="80"/>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Pr>
      <w:r>
        <w:rPr>
          <w:rFonts w:ascii="Garamond" w:hAnsi="Garamond"/>
          <w:b w:val="0"/>
          <w:color w:val="1A1A2E"/>
          <w:sz w:val="28"/>
        </w:rPr>
        <w:t>Chapitre 6b — Le FMI, la Banque mondiale et les assassins financiers</w:t>
      </w:r>
    </w:p>
    <w:p w14:paraId="5168F49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spacing w:after="200" w:line="264" w:lineRule="auto"/>
        <w:ind w:left="680" w:right="700"/>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8 — Le langage de la domination</w:t>
      </w:r>
    </w:p>
    <w:p w14:paraId="19238111" w14:textId="77777777" w:rsidR="006E716F" w:rsidRDefault="00000000">
      <w:pPr>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pPr>
              <w:spacing w:before="280"/>
            </w:pPr>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2022</w:t>
      </w:r>
    </w:p>
    <w:p w14:paraId="2899C43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ind w:left="2160" w:firstLine="720"/>
        <w:jc w:val="center"/>
      </w:pPr>
      <w:r w:rsidRPr="00BC04FC">
        <w:rPr>
          <w:rFonts w:ascii="Garamond" w:hAnsi="Garamond" w:cs="Garamond"/>
          <w:color w:val="7B1E1E"/>
        </w:rPr>
        <w:t>★ ★ ★</w:t>
      </w:r>
      <w:r w:rsidRPr="00BC04FC">
        <w:rPr>
          <w:color w:val="D99594" w:themeColor="accent2" w:themeTint="99"/>
        </w:rPr>
      </w:r>
      <w:r w:rsidRPr="00BC04FC">
        <w:rPr>
          <w:rFonts w:ascii="Garamond" w:hAnsi="Garamond" w:cs="Garamond"/>
          <w:color w:val="D99594" w:themeColor="accent2" w:themeTint="99"/>
        </w:rPr>
      </w:r>
      <w:r w:rsidRPr="00BC04FC">
        <w:rPr>
          <w:color w:val="D99594" w:themeColor="accent2" w:themeTint="99"/>
        </w:rPr>
      </w:r>
      <w:r w:rsidRPr="00BC04FC">
        <w:rPr>
          <w:rFonts w:ascii="Garamond" w:hAnsi="Garamond" w:cs="Garamond"/>
          <w:color w:val="D99594" w:themeColor="accent2" w:themeTint="99"/>
        </w:rPr>
      </w:r>
      <w:r/>
    </w:p>
    <w:p w14:paraId="57A5E1C0" w14:textId="77777777" w:rsidR="006E716F" w:rsidRDefault="00000000">
      <w:r>
        <w:lastRenderedPageBreak/>
        <w:br w:type="page"/>
      </w:r>
    </w:p>
    <w:p w14:paraId="11D25E04"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ADMET EN PRIVÉ</w:t>
      </w:r>
    </w:p>
    <w:p w14:paraId="593D965B" w14:textId="77777777" w:rsidR="006E716F" w:rsidRDefault="00000000">
      <w:pPr>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spacing w:after="200" w:line="264" w:lineRule="auto"/>
        <w:ind w:left="680" w:right="700"/>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spacing w:after="200" w:line="264" w:lineRule="auto"/>
        <w:ind w:left="680" w:right="700"/>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spacing w:after="200" w:line="264" w:lineRule="auto"/>
        <w:ind w:left="680" w:right="700"/>
      </w:pPr>
      <w:r>
        <w:rPr>
          <w:rFonts w:ascii="Garamond" w:eastAsia="Arial" w:hAnsi="Garamond" w:cs="Arial"/>
          <w:i/>
          <w:iCs/>
          <w:color w:val="555555"/>
          <w:sz w:val="19"/>
          <w:szCs w:val="18"/>
        </w:rPr>
        <w:t>— André Chassaigne, ibid.</w:t>
      </w:r>
    </w:p>
    <w:p w14:paraId="6C3EA8F4" w14:textId="77777777" w:rsidR="006E716F" w:rsidRDefault="00000000">
      <w:pPr>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spacing w:after="200" w:line="264" w:lineRule="auto"/>
        <w:ind w:left="680" w:right="700"/>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TROIS COURONNES DE LA TRAHISON</w:t>
      </w:r>
    </w:p>
    <w:p w14:paraId="57599FB4" w14:textId="77777777" w:rsidR="006E716F" w:rsidRDefault="00000000">
      <w:pPr>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12 — La CEDEAO comme instrument</w:t>
      </w:r>
    </w:p>
    <w:p w14:paraId="444F53B5" w14:textId="77777777" w:rsidR="006E716F" w:rsidRDefault="00000000">
      <w:pPr>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pPr>
              <w:spacing w:before="280"/>
            </w:pPr>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ind w:left="2160" w:firstLine="720"/>
        <w:jc w:val="center"/>
      </w:pPr>
      <w:r w:rsidRPr="00BC04FC">
        <w:rPr>
          <w:rFonts w:ascii="Garamond" w:hAnsi="Garamond" w:cs="Garamond"/>
          <w:color w:val="7B1E1E"/>
        </w:rPr>
        <w:t>★ ★ ★</w:t>
      </w:r>
      <w:r w:rsidRPr="00BC04FC">
        <w:rPr>
          <w:color w:val="D99594" w:themeColor="accent2" w:themeTint="99"/>
        </w:rPr>
      </w:r>
      <w:r w:rsidRPr="00BC04FC">
        <w:rPr>
          <w:rFonts w:ascii="Garamond" w:hAnsi="Garamond" w:cs="Garamond"/>
          <w:color w:val="D99594" w:themeColor="accent2" w:themeTint="99"/>
        </w:rPr>
      </w:r>
      <w:r w:rsidRPr="00BC04FC">
        <w:rPr>
          <w:color w:val="D99594" w:themeColor="accent2" w:themeTint="99"/>
        </w:rPr>
      </w:r>
      <w:r w:rsidRPr="00BC04FC">
        <w:rPr>
          <w:rFonts w:ascii="Garamond" w:hAnsi="Garamond" w:cs="Garamond"/>
          <w:color w:val="D99594" w:themeColor="accent2" w:themeTint="99"/>
        </w:rPr>
      </w:r>
      <w:r/>
    </w:p>
    <w:p w14:paraId="4274B93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t>Chapitre 13 — Les élites compradore</w:t>
      </w:r>
    </w:p>
    <w:p w14:paraId="12F2305A" w14:textId="77777777" w:rsidR="006E716F" w:rsidRDefault="00000000">
      <w:pPr>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pPr>
              <w:spacing w:before="280"/>
            </w:pPr>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spacing w:after="80" w:line="312" w:lineRule="auto"/>
        <w:ind w:firstLine="397"/>
        <w:jc w:val="both"/>
      </w:pPr>
      <w:r>
        <w:rPr>
          <w:rFonts w:ascii="Garamond" w:eastAsia="Georgia" w:hAnsi="Garamond" w:cs="Georgia"/>
          <w:color w:val="1A1A1A"/>
          <w:sz w:val="22"/>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22"/>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Abdourahamane Tiani, CNSP Niger, entretien Télé </w:t>
      </w:r>
      <w:r w:rsidR="00FA2838">
        <w:rPr>
          <w:rFonts w:ascii="Garamond" w:eastAsia="Georgia" w:hAnsi="Garamond" w:cs="Georgia"/>
          <w:color w:val="1A1A1A"/>
          <w:sz w:val="22"/>
          <w:szCs w:val="22"/>
        </w:rPr>
        <w:t>Sahel]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spacing w:before="160" w:after="40" w:line="276" w:lineRule="auto"/>
        <w:ind w:left="680" w:right="283"/>
        <w:rPr>
          <w:rFonts w:ascii="Garamond" w:eastAsia="Georgia" w:hAnsi="Garamond" w:cs="Georgia"/>
          <w:i/>
          <w:iCs/>
          <w:color w:val="8B0000"/>
          <w:sz w:val="21"/>
          <w:szCs w:val="21"/>
        </w:rPr>
        <w:pBdr>
          <w:left w:val="single" w:sz="24" w:space="12" w:color="7B1E1E"/>
        </w:pBd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pBdr>
          <w:left w:val="single" w:sz="14" w:space="10" w:color="C8A951"/>
        </w:pBdr>
        <w:spacing w:before="160" w:after="200" w:line="276" w:lineRule="auto"/>
        <w:ind w:left="680" w:right="283"/>
        <w:rPr>
          <w:i/>
          <w:iCs/>
        </w:rPr>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spacing w:before="160" w:after="160"/>
        <w:jc w:val="center"/>
      </w:pPr>
      <w:r>
        <w:rPr>
          <w:color w:val="7B1E1E"/>
        </w:rPr>
        <w:t>★ ★ ★</w:t>
      </w:r>
    </w:p>
    <w:p>
      <w:pPr>
        <w:spacing w:before="0" w:after="200"/>
        <w:ind w:left="680"/>
      </w:pPr>
      <w:r>
        <w:rPr>
          <w:i/>
          <w:sz w:val="19"/>
        </w:rPr>
        <w:t>— Président Badakani, Paroles Panafricanistes, 29 novembre 2022</w:t>
      </w:r>
    </w:p>
    <w:p>
      <w:pPr>
        <w:spacing w:before="160" w:after="40"/>
        <w:ind w:left="680"/>
        <w:pBdr>
          <w:left w:val="single" w:sz="24" w:space="12" w:color="7B1E1E"/>
        </w:pBdr>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spacing w:after="80"/>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spacing w:after="80"/>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spacing w:before="0" w:after="200"/>
        <w:ind w:left="680"/>
      </w:pPr>
      <w:r>
        <w:rPr>
          <w:i/>
          <w:sz w:val="19"/>
        </w:rPr>
        <w:t>— Président Badakani, Paroles Panafricanistes, 29 novembre 2022</w:t>
      </w:r>
    </w:p>
    <w:p>
      <w:pPr>
        <w:spacing w:before="160" w:after="40"/>
        <w:ind w:left="680"/>
        <w:pBdr>
          <w:left w:val="single" w:sz="24" w:space="12" w:color="7B1E1E"/>
        </w:pBdr>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spacing w:after="80"/>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spacing w:after="80"/>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spacing w:before="0" w:after="200"/>
        <w:ind w:left="680"/>
      </w:pPr>
      <w:r>
        <w:rPr>
          <w:i/>
          <w:sz w:val="19"/>
        </w:rPr>
        <w:t>— Président Badakani, Paroles Panafricanistes, 29 novembre 2022</w:t>
      </w:r>
    </w:p>
    <w:p>
      <w:pPr>
        <w:spacing w:before="160" w:after="40"/>
        <w:ind w:left="680"/>
        <w:pBdr>
          <w:left w:val="single" w:sz="24" w:space="12" w:color="7B1E1E"/>
        </w:pBdr>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spacing w:after="80"/>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spacing w:after="80"/>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spacing w:before="0" w:after="200"/>
        <w:ind w:left="680"/>
      </w:pPr>
      <w:r>
        <w:rPr>
          <w:i/>
          <w:sz w:val="19"/>
        </w:rPr>
        <w:t>— Président Badakani, Paroles Panafricanistes, 29 novembre 2022</w:t>
      </w:r>
    </w:p>
    <w:p>
      <w:pPr>
        <w:spacing w:before="160" w:after="40"/>
        <w:ind w:left="680"/>
        <w:pBdr>
          <w:left w:val="single" w:sz="24" w:space="12" w:color="7B1E1E"/>
        </w:pBdr>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spacing w:after="80"/>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spacing w:after="80"/>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Pr>
      <w:r>
        <w:rPr>
          <w:rFonts w:ascii="Garamond" w:hAnsi="Garamond"/>
          <w:b w:val="0"/>
          <w:color w:val="1A1A2E"/>
          <w:sz w:val="28"/>
        </w:rPr>
        <w:t>Chapitre 13b — Impérialisme, nazisme et la mécanique de la division africaine</w:t>
      </w:r>
    </w:p>
    <w:p>
      <w:pPr>
        <w:spacing w:before="160" w:after="160"/>
        <w:jc w:val="center"/>
      </w:pPr>
      <w:r>
        <w:rPr>
          <w:color w:val="7B1E1E"/>
        </w:rPr>
        <w:t>★ ★ ★</w:t>
      </w:r>
    </w:p>
    <w:p>
      <w:pPr>
        <w:spacing w:before="0" w:after="200"/>
        <w:ind w:left="680"/>
      </w:pPr>
      <w:r>
        <w:rPr>
          <w:i/>
          <w:sz w:val="19"/>
        </w:rPr>
        <w:t>— Dr. Rufin Viclère Mabiala, analyste panafricaniste</w:t>
      </w:r>
    </w:p>
    <w:p>
      <w:pPr>
        <w:spacing w:before="160" w:after="40"/>
        <w:ind w:left="680"/>
        <w:pBdr>
          <w:left w:val="single" w:sz="24" w:space="12" w:color="7B1E1E"/>
        </w:pBdr>
      </w:pPr>
      <w:r>
        <w:rPr>
          <w:i/>
          <w:sz w:val="21"/>
        </w:rPr>
        <w:t>« Les problèmes africains doivent avoir une solution africaine. Tous les accords signés en dehors du pays concerné sont nuls et non avenus. Que ceux qui complotent avec les Occidentaux sachent qu'ils finissent toujours mal. Et que ceux qui les soutiennent assument leur responsabilité — parce que voter pour un dictateur parce qu'on a reçu 5 000 francs, c'est accepter d'être gouverné par ce dictateur. »</w:t>
      </w:r>
    </w:p>
    <w:p>
      <w:pPr>
        <w:spacing w:after="80"/>
      </w:pPr>
      <w:r>
        <w:t>La leçon que Dr. Mabiala tire de ces portraits convergents est d'une rigueur analytique que ni l'émotion ni la haine ne peuvent épuiser. Ce n'est pas que ces hommes sont mauvais d'une malédiction individuelle. C'est qu'ils ont fait un choix structurel — servir l'étranger contre leur peuple — et que ce choix a des conséquences mécaniques, indépendamment de leurs intentions personnelles. Mobutu croyait peut-être en son utilité. Compaoré croyait peut-être en sa protection éternelle. Soro croyait peut-être en sa récompense. L'Empire n'a pas de mémoire pour ses valets. Il n'a que des intérêts.</w:t>
      </w:r>
    </w:p>
    <w:p>
      <w:pPr>
        <w:spacing w:after="80"/>
      </w:pPr>
      <w:r>
        <w:t>La guerre informationnelle a une dimension méconnue : la fabrication de l'expertise. Les médias occidentaux — RFI, France 24, CNN, TV5 — ne font pas que diffuser des informations. Ils fabriquent des légitimités. Ils décident qui est « économiste reconnu », qui est « analyste de référence », qui est « politologue incontournable ». Ces labels sont distribués aux serviteurs du système et refusés aux experts indépendants. Un docteur en économie africain qui démonte la mécanique du franc CFA n'existe pas sur RFI. Un technocrate sans doctorat formé dans les couloirs du FMI est présenté comme le grand économiste du moment — s'il défend les intérêts de Paris.</w:t>
      </w:r>
    </w:p>
    <w:p>
      <w:pPr>
        <w:spacing w:before="0" w:after="200"/>
        <w:ind w:left="680"/>
      </w:pPr>
      <w:r>
        <w:rPr>
          <w:i/>
          <w:sz w:val="19"/>
        </w:rPr>
        <w:t>— Dr. Rufin Viclère Mabiala, analyste panafricaniste</w:t>
      </w:r>
    </w:p>
    <w:p>
      <w:pPr>
        <w:spacing w:before="160" w:after="40"/>
        <w:ind w:left="680"/>
        <w:pBdr>
          <w:left w:val="single" w:sz="24" w:space="12" w:color="7B1E1E"/>
        </w:pBdr>
      </w:pPr>
      <w:r>
        <w:rPr>
          <w:i/>
          <w:sz w:val="21"/>
        </w:rPr>
        <w:t>« C'est quand Ouattara était directeur du département Afrique du FMI que tous les pays africains se sont mis la corde autour du cou. Tous sans exception. Voilà où tous les pays africains ont une dette. C'est Ouattara. Parce qu'il voulait le succès — c'est devenu son CV. »</w:t>
      </w:r>
    </w:p>
    <w:p>
      <w:pPr>
        <w:spacing w:after="80"/>
      </w:pPr>
      <w:r>
        <w:t>Mais Ouattara n'est pas seulement le complice local de la France en Côte d'Ivoire. Son rôle dans l'appauvrissement systématique de l'Afrique a une dimension continentale documentée. Pendant son passage à la direction du département Afrique du FMI, il a été l'architecte de l'imposition des plans d'ajustement structurel à l'ensemble des pays africains. Les accords qui ont contraint les États africains à privatiser leurs services publics, à réduire leurs budgets de santé et d'éducation, à ouvrir leurs marchés aux produits occidentaux subventionnés — ces accords portent sa signature institutionnelle. Ce n'est pas une hypothèse. C'est un fait de carrière.</w:t>
      </w:r>
    </w:p>
    <w:p>
      <w:pPr>
        <w:spacing w:after="80"/>
      </w:pPr>
      <w:r>
        <w:t>**Le cas Ouattara** est le plus instructif parce qu'il est en cours. Alassane Ouattara a accédé au pouvoir en Côte d'Ivoire grâce à Guillaume Soro, chef de la rébellion des Forces Nouvelles, qui a tenu le nord du pays pendant une décennie pour créer les conditions de l'intervention française en 2011. Soro a livré la Côte d'Ivoire à la France. La France a livré la Côte d'Ivoire à Ouattara. Dix ans plus tard, Ouattara condamne Soro à vingt ans d'emprisonnement pour les mêmes actes qu'il avait lui-même commandités. Soro se cache, fuit, cherche à invoquer une immunité parlementaire introuvable. La France ne lève pas le petit doigt pour le défendre.</w:t>
      </w:r>
    </w:p>
    <w:p>
      <w:pPr>
        <w:spacing w:before="0" w:after="200"/>
        <w:ind w:left="680"/>
      </w:pPr>
      <w:r>
        <w:rPr>
          <w:i/>
          <w:sz w:val="19"/>
        </w:rPr>
        <w:t>— Dr. Rufin Viclère Mabiala, analyste panafricaniste</w:t>
      </w:r>
    </w:p>
    <w:p>
      <w:pPr>
        <w:spacing w:before="160" w:after="40"/>
        <w:ind w:left="680"/>
        <w:pBdr>
          <w:left w:val="single" w:sz="24" w:space="12" w:color="7B1E1E"/>
        </w:pBdr>
      </w:pPr>
      <w:r>
        <w:rPr>
          <w:i/>
          <w:sz w:val="21"/>
        </w:rPr>
        <w:t>« Tous les terroristes qui ont agi dans le Sahel — au Burkina, au Mali, au Niger — ont été fabriqués, formés ou protégés par Compaoré. Qu'est-ce qu'on a fait de Compaoré ? Les Français l'ont pris, l'ont sauvé pour ne pas qu'on l'attrape. Et la Côte d'Ivoire d'Ouattara le protège pour qu'il ne puisse pas faire face à la justice. »</w:t>
      </w:r>
    </w:p>
    <w:p>
      <w:pPr>
        <w:spacing w:after="80"/>
      </w:pPr>
      <w:r>
        <w:t>Compaoré a assassiné Sankara pour rendre service à la France. Il a déstabilisé la sous-région pendant vingt-sept ans pour rendre service à la France. Quand il a été renversé par son propre peuple en 2014, la France l'a exfiltré en Côte d'Ivoire — chez son complice Ouattara — pour le protéger de la justice. Quand les juges burkinabè ont voulu le juger pour l'assassinat de Sankara, la Côte d'Ivoire d'Ouattara l'a protégé. Puis le tribunal militaire de Ouagadougou l'a condamné par contumace à la réclusion criminelle à perpétuité. Il vit toujours à Abidjan, sous la protection de celui qui lui-même sera bientôt jugé.</w:t>
      </w:r>
    </w:p>
    <w:p>
      <w:pPr>
        <w:spacing w:after="80"/>
      </w:pPr>
      <w:r>
        <w:t>**Le cas Compaoré** illustre la mécanique sahélienne de la trahison. Blaise Compaoré, pendant ses vingt-sept ans au pouvoir au Burkina Faso, a été le hub logistique de tous les groupes armés de la sous-région. Les réseaux jihadistes qui ont ensanglanté le Mali, le Niger, le Burkina — leurs chefs ont été formés, financés ou protégés dans le système Compaoré. C'est documenté. Ce que les analyses omettent de préciser : Compaoré opérait avec le consentement actif de ses bailleurs français, qui utilisaient cette instabilité calibrée pour justifier leur présence militaire dans la région.</w:t>
      </w:r>
    </w:p>
    <w:p>
      <w:pPr>
        <w:spacing w:before="0" w:after="200"/>
        <w:ind w:left="680"/>
      </w:pPr>
      <w:r>
        <w:rPr>
          <w:i/>
          <w:sz w:val="19"/>
        </w:rPr>
        <w:t>— Dr. Rufin Viclère Mabiala, analyste panafricaniste</w:t>
      </w:r>
    </w:p>
    <w:p>
      <w:pPr>
        <w:spacing w:before="160" w:after="40"/>
        <w:ind w:left="680"/>
        <w:pBdr>
          <w:left w:val="single" w:sz="24" w:space="12" w:color="7B1E1E"/>
        </w:pBdr>
      </w:pPr>
      <w:r>
        <w:rPr>
          <w:i/>
          <w:sz w:val="21"/>
        </w:rPr>
        <w:t>« Lors des négociations avec Kabila père, devant Pascal Lissouba et Nelson Mandela, Mobutu refusait même de marcher sur le tapis rouge. Il disait : c'est trompeur. Pourtant Mandela, aussi vieux que lui, était obligé de le tenir pour l'aider à se lever. Voilà la récompense de la haute trahison. »</w:t>
      </w:r>
    </w:p>
    <w:p>
      <w:pPr>
        <w:spacing w:after="80"/>
      </w:pPr>
      <w:r>
        <w:t>**Le cas Mobutu** est le cas d'école. Pendant trois décennies, Mobutu Sese Seko a déstabilisé l'Angola, le Soudan, le Rwanda, l'Afrique du Sud contre l'ANC, le Centrafrique — à la demande de ses maîtres occidentaux et de la CIA. Il a pillé le Congo-Kinshasa de façon systématique, maintenu son peuple dans la misère, détourné des milliards vers des comptes en Suisse. Sa récompense : quand son cancer l'a frappé, la France a refusé de lui accorder un visa pour se soigner sur son territoire. Il est mort à Rabat, seul, dépouillé de ses illusions, loin du pays qu'il avait saccagé pour des patrons qui l'ont abandonné dès qu'il n'a plus été utile.</w:t>
      </w:r>
    </w:p>
    <w:p>
      <w:pPr>
        <w:spacing w:after="80"/>
      </w:pPr>
      <w:r>
        <w:t>Il existe une loi implacable dans l'histoire des relations entre l'impérialisme occidental et ses collaborateurs africains. Elle a été formulée simplement par le Dr. Rufin Viclère Mabiala : l'Occident utilise, puis jette. Comme des kleenex. Pire que des kleenex. La leçon a été écrite avec le sang de Mobutu, avec l'exil de Compaoré, avec la condamnation de Soro. Elle continue d'être ignorée par ceux qui croient que leur service fidèle les protégera du destin de leurs prédécesseurs.</w:t>
      </w:r>
    </w:p>
    <w:p>
      <w:pPr>
        <w:pStyle w:val="Titre2"/>
      </w:pPr>
      <w:r>
        <w:rPr>
          <w:rFonts w:ascii="Garamond" w:hAnsi="Garamond"/>
          <w:b w:val="0"/>
          <w:color w:val="1A1A2E"/>
          <w:sz w:val="28"/>
        </w:rPr>
        <w:t>Chapitre 13c — Ouattara, Compaoré, Mobutu : portraits de la trahison instrumentalisée</w:t>
      </w:r>
    </w:p>
    <w:p>
      <w:pPr>
        <w:spacing w:before="160" w:after="160"/>
        <w:jc w:val="center"/>
      </w:pPr>
      <w:r>
        <w:rPr>
          <w:color w:val="7B1E1E"/>
        </w:rPr>
        <w:t>★ ★ ★</w:t>
      </w:r>
    </w:p>
    <w:p>
      <w:pPr>
        <w:spacing w:after="80"/>
      </w:pPr>
      <w:r>
        <w:t>Cet audio est la preuve que le Mali n'était pas paranoïaque en considérant ses voisins comme des menaces. C'est la preuve que l'étranglement économique documenté dans les chapitres précédents n'était pas une conséquence non voulue des sanctions CEDEAO — mais leur objectif explicite. Et c'est la preuve que la résistance de la transition malienne, pendant les mois les plus sombres des prix flambants et des salaires gelés, avait une dimension héroïque que les archives historiques finiront par reconnaître.</w:t>
      </w:r>
    </w:p>
    <w:p>
      <w:pPr>
        <w:spacing w:after="80"/>
      </w:pPr>
      <w:r>
        <w:t>La valeur analytique de cet audio dépasse le seul cas malien. Il documente en temps réel le mode opératoire de la subversion néocoloniale au XXIe siècle : non plus les soldats français à visage découvert, mais la coordination discrète entre présidents africains-relais, structures régionales instrumentalisées (CEDEAO), pression sur les banques commerciales, et étranglement financier orchestré depuis les capitales occidentales. La France n'a pas besoin d'intervenir directement. Elle a des hommes sur place — élus, respectables, assistants à des conférences à Bruxelles — qui font le travail à sa place.</w:t>
      </w:r>
    </w:p>
    <w:p>
      <w:pPr>
        <w:spacing w:before="0" w:after="200"/>
        <w:ind w:left="680"/>
      </w:pPr>
      <w:r>
        <w:rPr>
          <w:i/>
          <w:sz w:val="19"/>
        </w:rPr>
        <w:t>— Boubou Cissé / Alassane Ouattara, 17 février 2022 [audio intercepté]</w:t>
      </w:r>
    </w:p>
    <w:p>
      <w:pPr>
        <w:spacing w:before="160" w:after="40"/>
        <w:ind w:left="680"/>
        <w:pBdr>
          <w:left w:val="single" w:sz="24" w:space="12" w:color="7B1E1E"/>
        </w:pBdr>
      </w:pPr>
      <w:r>
        <w:rPr>
          <w:i/>
          <w:sz w:val="21"/>
        </w:rPr>
        <w:t>« On a deux sommets à Accra. Le premier... cela contraindra le Mali et la Guinée. »</w:t>
      </w:r>
    </w:p>
    <w:p>
      <w:pPr>
        <w:spacing w:after="80"/>
      </w:pPr>
      <w:r>
        <w:t>La fin de la conversation évoque deux sommets prévus à Accra pour « contraindre » le Mali et la Guinée — une référence explicite aux réunions de la CEDEAO qui allaient déboucher sur les sanctions. Cissé et Ouattara préparent leur participation à ces concertations avec la clarté d'hommes qui savent exactement quel objectif ils poursuivent. Le vocabulaire diplomatique des « sommets de médiation » recouvre ici une stratégie de renversement planifiée depuis Bruxelles, Dakar et Abidjan.</w:t>
      </w:r>
    </w:p>
    <w:p>
      <w:pPr>
        <w:spacing w:after="80"/>
      </w:pPr>
      <w:r>
        <w:t>Sur la Russie, Cissé adopte le discours occidental standard : les promesses russes ne se concrétisent pas, quelques biens matériels seulement, rien de décisif. Cette évaluation est celle de quelqu'un dont l'intérêt est précisément que la Russie échoue au Mali — et non d'un analyste neutre. La suite des événements contredit cette analyse : les forces maliennes associées à Wagner ont reconquis des territoires perdus depuis des années, repoussé plusieurs offensives terroristes majeures, et survécu à l'étranglement financier que cet appel avait pour but d'orchestrer.</w:t>
      </w:r>
    </w:p>
    <w:p>
      <w:pPr>
        <w:spacing w:before="0" w:after="200"/>
        <w:ind w:left="680"/>
      </w:pPr>
      <w:r>
        <w:rPr>
          <w:i/>
          <w:sz w:val="19"/>
        </w:rPr>
        <w:t>— Boubou Cissé, 17 février 2022 [audio intercepté]</w:t>
      </w:r>
    </w:p>
    <w:p>
      <w:pPr>
        <w:spacing w:before="160" w:after="40"/>
        <w:ind w:left="680"/>
        <w:pBdr>
          <w:left w:val="single" w:sz="24" w:space="12" w:color="7B1E1E"/>
        </w:pBdr>
      </w:pPr>
      <w:r>
        <w:rPr>
          <w:i/>
          <w:sz w:val="21"/>
        </w:rPr>
        <w:t>« Ils ont réussi à trouver un moyen de faire adhérer une bonne partie de la population à un combat que jusque-là le menu peuple ne menait pas — le combat contre la France, le combat contre la CEDEAO. Il y a un certain nombre de gens qui sont derrière eux pour ça. »</w:t>
      </w:r>
    </w:p>
    <w:p>
      <w:pPr>
        <w:spacing w:after="80"/>
      </w:pPr>
      <w:r>
        <w:t>L'extrait le plus révélateur porte sur la dynamique politique interne. Cissé reconnaît que la transition a réussi quelque chose que lui-même n'avait pas anticipé : fédérer une « bonne partie de la population » autour du « combat contre la France », contre la CEDEAO. C'est une concession analytique arrachée par la réalité — venant d'un opposant à la transition, elle vaut plus que tous les sondages commandités.</w:t>
      </w:r>
    </w:p>
    <w:p>
      <w:pPr>
        <w:spacing w:after="80"/>
      </w:pPr>
      <w:r>
        <w:t>La cartographie des pressions économiques exercées sur le Mali est détaillée avec précision dans cet échange. Les salaires n'ont pas été payés depuis deux ans et demi, selon Cissé. « Mille milliards de l'emprunt » sont bloqués. Les jeunes n'ont plus accès aux financements. Le vice-ministre des Finances a fait circuler une lettre de pression sur les banques. Les actionnaires sont sollicités. La Banque mondiale et la Banque africaine de développement sont évoquées comme leviers. Ce n'est pas une conversation d'analyse passive. C'est le pilotage actif d'un étranglement économique.</w:t>
      </w:r>
    </w:p>
    <w:p>
      <w:pPr>
        <w:spacing w:before="0" w:after="200"/>
        <w:ind w:left="680"/>
      </w:pPr>
      <w:r>
        <w:rPr>
          <w:i/>
          <w:sz w:val="19"/>
        </w:rPr>
        <w:t>— Boubou Cissé, 17 février 2022 [audio intercepté, source : réseaux panafricanistes]</w:t>
      </w:r>
    </w:p>
    <w:p>
      <w:pPr>
        <w:spacing w:before="160" w:after="40"/>
        <w:ind w:left="680"/>
        <w:pBdr>
          <w:left w:val="single" w:sz="24" w:space="12" w:color="7B1E1E"/>
        </w:pBdr>
      </w:pPr>
      <w:r>
        <w:rPr>
          <w:i/>
          <w:sz w:val="21"/>
        </w:rPr>
        <w:t>« Malgré tout ce qu'on veut lui faire croire, la situation reste très difficile pour eux. Ça va être extrêmement difficile de tenir encore au pouvoir à quatre semaines financièrement. La pression est vraiment là, une pression réelle. Les prix ont flambé. Les denrées alimentaires, c'est difficile aujourd'hui de se procurer du riz à un prix normal, du sucre. »</w:t>
      </w:r>
    </w:p>
    <w:p>
      <w:pPr>
        <w:spacing w:after="80"/>
      </w:pPr>
      <w:r>
        <w:t>Ouattara appelle depuis Bruxelles. Cissé est à Dakar. Ils évoquent d'emblée « le plan de la commission » — une structure de coordination non identifiée publiquement — en lien avec la situation au Mali et au Burkina Faso. Ils évaluent la résistance de la transition malienne avec la précision de stratèges analysant un adversaire :</w:t>
      </w:r>
    </w:p>
    <w:p>
      <w:pPr>
        <w:spacing w:after="80"/>
      </w:pPr>
      <w:r>
        <w:t>Le 17 février 2022, une conversation téléphonique entre Alassane Ouattara, président de la Côte d'Ivoire, et Boubou Cissé, ancien Premier ministre du Mali et figure de l'opposition à la transition, est interceptée et diffusée. Sa véracité n'est pas contestée par les protagonistes. Ce qui est contesté, c'est son interprétation. L'analyse froide du document ne laisse cependant que peu de place à l'ambiguïté.</w:t>
      </w:r>
    </w:p>
    <w:p>
      <w:pPr>
        <w:pStyle w:val="Titre2"/>
      </w:pPr>
      <w:r>
        <w:rPr>
          <w:rFonts w:ascii="Garamond" w:hAnsi="Garamond"/>
          <w:b w:val="0"/>
          <w:color w:val="1A1A2E"/>
          <w:sz w:val="28"/>
        </w:rPr>
        <w:t>Chapitre 13d — L'audio du 17 février 2022 : Ouattara et Boubou Cissé en flagrant délit de complot</w:t>
      </w:r>
    </w:p>
    <w:p w14:paraId="53A8A608"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1 : les médias français</w:t>
      </w:r>
    </w:p>
    <w:p w14:paraId="7A07BB94" w14:textId="77777777" w:rsidR="006E716F" w:rsidRDefault="00000000">
      <w:pPr>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2 : la guerre numérique</w:t>
      </w:r>
    </w:p>
    <w:p w14:paraId="3B23F81E" w14:textId="26FCEBB9" w:rsidR="006E716F" w:rsidRDefault="00000000">
      <w:pPr>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Mécanisme central : l’inversion causale</w:t>
      </w:r>
    </w:p>
    <w:p w14:paraId="3183B14D" w14:textId="773CCC59" w:rsidR="006E716F" w:rsidRDefault="00000000">
      <w:pPr>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FILS DE LIPTAKO-GOURMA</w:t>
      </w:r>
    </w:p>
    <w:p w14:paraId="2FFBEE71" w14:textId="77777777" w:rsidR="006E716F" w:rsidRDefault="00000000">
      <w:pPr>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spacing w:after="80" w:line="312" w:lineRule="auto"/>
        <w:ind w:left="2160" w:firstLine="720"/>
        <w:jc w:val="center"/>
        <w:rPr>
          <w:b/>
          <w:bCs/>
          <w:color w:val="D99594" w:themeColor="accent2" w:themeTint="99"/>
          <w:sz w:val="22"/>
          <w:szCs w:val="22"/>
        </w:rPr>
      </w:pPr>
      <w:r w:rsidRPr="00D61B0B">
        <w:rPr>
          <w:rFonts w:ascii="Garamond" w:hAnsi="Garamond"/>
          <w:b/>
          <w:bCs/>
          <w:color w:val="7B1E1E"/>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spacing w:after="80" w:line="312" w:lineRule="auto"/>
        <w:ind w:left="2160" w:firstLine="720"/>
        <w:jc w:val="center"/>
        <w:rPr>
          <w:color w:val="D99594" w:themeColor="accent2" w:themeTint="99"/>
        </w:rPr>
      </w:pPr>
      <w:r w:rsidRPr="00D234DF">
        <w:rPr>
          <w:rFonts w:ascii="Garamond" w:hAnsi="Garamond"/>
          <w:b/>
          <w:bCs/>
          <w:color w:val="7B1E1E"/>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16 — Mali : la première rupture</w:t>
      </w:r>
    </w:p>
    <w:p w14:paraId="6854F5D7" w14:textId="77777777" w:rsidR="006E716F" w:rsidRDefault="00000000">
      <w:pPr>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Le Mali est et restera Un et Indivisible. »</w:t>
      </w:r>
    </w:p>
    <w:p w14:paraId="0709DC4F" w14:textId="77777777" w:rsidR="006E716F" w:rsidRDefault="00000000">
      <w:pPr>
        <w:spacing w:after="200" w:line="264" w:lineRule="auto"/>
        <w:ind w:left="680" w:right="700"/>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pPr>
              <w:spacing w:before="280"/>
            </w:pPr>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spacing w:after="200" w:line="264" w:lineRule="auto"/>
        <w:ind w:left="680" w:right="700"/>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pPr>
        <w:spacing w:before="160" w:after="160"/>
        <w:jc w:val="center"/>
      </w:pPr>
      <w:r>
        <w:rPr>
          <w:color w:val="7B1E1E"/>
        </w:rPr>
        <w:t>★ ★ ★</w:t>
      </w:r>
    </w:p>
    <w:p>
      <w:pPr>
        <w:spacing w:before="0" w:after="200"/>
        <w:ind w:left="680"/>
      </w:pPr>
      <w:r>
        <w:rPr>
          <w:i/>
          <w:sz w:val="19"/>
        </w:rPr>
        <w:t>— Général Abdourahamane Tiani, 13 novembre 2025</w:t>
      </w:r>
    </w:p>
    <w:p>
      <w:pPr>
        <w:spacing w:before="160" w:after="40"/>
        <w:ind w:left="680"/>
        <w:pBdr>
          <w:left w:val="single" w:sz="24" w:space="12" w:color="7B1E1E"/>
        </w:pBdr>
      </w:pPr>
      <w:r>
        <w:rPr>
          <w:i/>
          <w:sz w:val="21"/>
        </w:rPr>
        <w:t>« Restons vigilants. »</w:t>
      </w:r>
    </w:p>
    <w:p>
      <w:pPr>
        <w:spacing w:before="0" w:after="200"/>
        <w:ind w:left="680"/>
      </w:pPr>
      <w:r>
        <w:rPr>
          <w:i/>
          <w:sz w:val="19"/>
        </w:rPr>
        <w:t>— CNSP Niger, communiqué public, RTN, 16 mars 2024 ; Nathalie Yamb, analyse, mars 2024</w:t>
      </w:r>
    </w:p>
    <w:p>
      <w:pPr>
        <w:spacing w:before="160" w:after="40"/>
        <w:ind w:left="680"/>
        <w:pBdr>
          <w:left w:val="single" w:sz="24" w:space="12" w:color="7B1E1E"/>
        </w:pBdr>
      </w:pPr>
      <w:r>
        <w:rPr>
          <w:i/>
          <w:sz w:val="21"/>
        </w:rPr>
        <w:t>« L'accord avait été imposé unilatéralement à Issoufou en 2012, sans consultation de l'Assemblée nationale. Le Niger payait les taxes des avions américains. Les autorités nigériennes n'avaient aucune information sur les activités militaires menées à partir des bases. L'armée américaine n'avait aucune obligation d'appui contre les groupes terroristes qui massacraient les populations. »</w:t>
      </w:r>
    </w:p>
    <w:p>
      <w:pPr>
        <w:spacing w:after="80"/>
      </w:pPr>
      <w:r>
        <w:t>Les termes révélés par le CNSP sont d'une violence institutionnelle rarement exposée si clairement. Le Niger payait les taxes des avions militaires américains dont ces derniers étaient normalement redevables eux-mêmes. Les autorités nigériennes n'avaient aucune information sur les activités militaires menées depuis les bases installées sur leur propre territoire. L'armée américaine n'avait aucune obligation contractuelle d'appui contre les groupes terroristes qui massacraient les populations nigériennes. Plus de 1 100 soldats, trois bases, plusieurs centaines de millions de dollars par an depuis 2012 — dont la base drone d'Agadez, présentée dans la presse américaine spécialisée comme « la base de drones la plus chère jamais construite par les États-Unis ».</w:t>
      </w:r>
    </w:p>
    <w:p>
      <w:pPr>
        <w:spacing w:after="80"/>
      </w:pPr>
      <w:r>
        <w:t>En mars 2024, le CNSP nigérien expose publiquement ce que les Nigériens n'avaient jamais eu le droit de savoir. L'accord de stationnement des forces militaires américaines au Niger avait été imposé unilatéralement à Mahamadou Issoufou en 2012 — sans consultation de l'Assemblée nationale, sans débat public, sans mandat populaire. Un accord entre gouvernements, signé dans le dos d'un peuple souverain.</w:t>
      </w:r>
    </w:p>
    <w:p>
      <w:pPr>
        <w:pStyle w:val="Titre2"/>
      </w:pPr>
      <w:r>
        <w:rPr>
          <w:rFonts w:ascii="Garamond" w:hAnsi="Garamond"/>
          <w:b w:val="0"/>
          <w:color w:val="1A1A2E"/>
          <w:sz w:val="28"/>
        </w:rPr>
        <w:t>Chapitre 18b — La base d'Agadez : un accord imposé sans le consentement du Niger</w:t>
      </w:r>
    </w:p>
    <w:p w14:paraId="27C422A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pPr>
              <w:spacing w:before="280"/>
            </w:pPr>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ind w:left="2160" w:firstLine="720"/>
        <w:jc w:val="center"/>
      </w:pPr>
      <w:r w:rsidRPr="0010645E">
        <w:rPr>
          <w:rFonts w:ascii="Garamond" w:hAnsi="Garamond" w:cs="Garamond"/>
          <w:color w:val="7B1E1E"/>
        </w:rPr>
        <w:t>★ ★ ★</w:t>
      </w:r>
      <w:r w:rsidRPr="0010645E">
        <w:rPr>
          <w:color w:val="D99594" w:themeColor="accent2" w:themeTint="99"/>
        </w:rPr>
      </w:r>
      <w:r w:rsidRPr="0010645E">
        <w:rPr>
          <w:rFonts w:ascii="Garamond" w:hAnsi="Garamond" w:cs="Garamond"/>
          <w:color w:val="D99594" w:themeColor="accent2" w:themeTint="99"/>
        </w:rPr>
      </w:r>
      <w:r w:rsidRPr="0010645E">
        <w:rPr>
          <w:color w:val="D99594" w:themeColor="accent2" w:themeTint="99"/>
        </w:rPr>
      </w:r>
      <w:r w:rsidRPr="0010645E">
        <w:rPr>
          <w:rFonts w:ascii="Garamond" w:hAnsi="Garamond" w:cs="Garamond"/>
          <w:color w:val="D99594" w:themeColor="accent2" w:themeTint="99"/>
        </w:rPr>
      </w:r>
      <w:r/>
    </w:p>
    <w:p w14:paraId="5101795A" w14:textId="77777777" w:rsidR="006E716F" w:rsidRDefault="00000000">
      <w:r>
        <w:lastRenderedPageBreak/>
        <w:br w:type="page"/>
      </w:r>
    </w:p>
    <w:p w14:paraId="40994DDB"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GÉOPOLITIQUE DE LA RUPTURE</w:t>
      </w:r>
    </w:p>
    <w:p w14:paraId="1DB2D30E" w14:textId="77777777" w:rsidR="006E716F" w:rsidRDefault="00000000">
      <w:pPr>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21 — L’Algérie : médiateur ambigu</w:t>
      </w:r>
    </w:p>
    <w:p w14:paraId="0954000D" w14:textId="77777777" w:rsidR="006E716F" w:rsidRDefault="00000000">
      <w:pPr>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pPr>
        <w:spacing w:before="160" w:after="160"/>
        <w:jc w:val="center"/>
      </w:pPr>
      <w:r>
        <w:rPr>
          <w:color w:val="7B1E1E"/>
        </w:rPr>
        <w:t>★ ★ ★</w:t>
      </w:r>
    </w:p>
    <w:p>
      <w:pPr>
        <w:spacing w:before="0" w:after="200"/>
        <w:ind w:left="680"/>
      </w:pPr>
      <w:r>
        <w:rPr>
          <w:i/>
          <w:sz w:val="19"/>
        </w:rPr>
        <w:t>— Nathalie Yamb, analyste géopolitique, avril 2025</w:t>
      </w:r>
    </w:p>
    <w:p>
      <w:pPr>
        <w:spacing w:before="160" w:after="40"/>
        <w:ind w:left="680"/>
        <w:pBdr>
          <w:left w:val="single" w:sz="24" w:space="12" w:color="7B1E1E"/>
        </w:pBdr>
      </w:pPr>
      <w:r>
        <w:rPr>
          <w:i/>
          <w:sz w:val="21"/>
        </w:rPr>
        <w:t>«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 »</w:t>
      </w:r>
    </w:p>
    <w:p>
      <w:pPr>
        <w:spacing w:after="80"/>
      </w:pPr>
      <w:r>
        <w:t>Le 22 mars 2026, lors de la réunion de la Ligue Arabe, le Mali reconnaît la souveraineté marocaine sur le Sahara occidental. Alger — dont la politique étrangère est structurée autour du soutien au Front Polisario — reçoit ce choix comme un camouflet géopolitique majeur. Quatre semaines plus tard, le 25 avril 2026, surviennent les attaques coordonnées les plus meurtrières contre les forces de l'AES. Iyad Ag Ghali, chef du JNIM qui revendique les attaques, entretient des liens historiques documentés avec les services algériens. La question analytique reste ouverte. Elle ne peut pas être fermée par le déni ou l'affirmation. Elle exige une réponse judiciaire et diplomatique que l'histoire devra trancher.</w:t>
      </w:r>
    </w:p>
    <w:p>
      <w:pPr>
        <w:spacing w:after="80"/>
      </w:pPr>
      <w:r>
        <w:t>La nuit du 31 mars au 1er avril 2025 cristallise cette relation dans sa forme la plus concrète. L'armée algérienne abat un drone des Forces Armées du Mali — sur sol malien, à 10 kilomètres de la frontière, comme l'établissent les données GPS de l'aéronef. Ce même 31 mars, Tebboune et Macron ont une conversation téléphonique dont le communiqué conjoint évoque leurs « intérêts stratégiques et de sécurité respectifs ». La synchronisation est documentée. Alger tire sur un drone malien le jour même où Alger et Paris s'entendent sur leurs intérêts communs dans la région.</w:t>
      </w:r>
    </w:p>
    <w:p>
      <w:pPr>
        <w:spacing w:before="0" w:after="200"/>
        <w:ind w:left="680"/>
      </w:pPr>
      <w:r>
        <w:rPr>
          <w:i/>
          <w:sz w:val="19"/>
        </w:rPr>
        <w:t>— Albert Anatole Ayissi, Forum Media Africa</w:t>
      </w:r>
    </w:p>
    <w:p>
      <w:pPr>
        <w:spacing w:before="160" w:after="40"/>
        <w:ind w:left="680"/>
        <w:pBdr>
          <w:left w:val="single" w:sz="24" w:space="12" w:color="7B1E1E"/>
        </w:pBdr>
      </w:pPr>
      <w:r>
        <w:rPr>
          <w:i/>
          <w:sz w:val="21"/>
        </w:rPr>
        <w:t>«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80"/>
      </w:pPr>
      <w:r>
        <w:t>Les preuves documentaires ne viennent pas de militants panafricanistes. Elles viennent de la propre correspondance d'Hillary Clinton. Des emails déclassifiés du 18 janvier 2013, échangés entre la secrétaire d'État américaine et son conseiller Sydney Blumenthal, accessibles sur Wikileaks, établissent que le gouvernement Bouteflika avait conclu un accord très secret avec le terroriste Belmokhtar après l'enlèvement en avril 2012 du consul algérien à Gao : Belmokhtar concentrerait ses opérations au Mali, avec l'encouragement du renseignement algérien. Alger utilisait les djihadistes maliens comme variable d'ajustement dans ses propres calculs stratégiques.</w:t>
      </w:r>
    </w:p>
    <w:p>
      <w:pPr>
        <w:spacing w:after="80"/>
      </w:pPr>
      <w:r>
        <w:t>Il existe un renversement historique que l'analyse sèche des données contemporaines ne permet pas de saisir sans retourner soixante ans en arrière. Le FLN algérien a utilisé le Mali de Modibo Keïta comme base arrière pour combattre la France coloniale. Une délégation algérienne est venue à Bamako remettre un drapeau et un poignard à Modibo Keïta en signe de gratitude fraternelle. Le Mali a payé en sang et en risque politique pour la liberté de l'Algérie. L'Algérie d'aujourd'hui retourne ses armes contre le Mali qui combat pour sa propre indépendance. C'est une trahison de civilisation.</w:t>
      </w:r>
    </w:p>
    <w:p>
      <w:pPr>
        <w:pStyle w:val="Titre2"/>
      </w:pPr>
      <w:r>
        <w:rPr>
          <w:rFonts w:ascii="Garamond" w:hAnsi="Garamond"/>
          <w:b w:val="0"/>
          <w:color w:val="1A1A2E"/>
          <w:sz w:val="28"/>
        </w:rPr>
        <w:t>Chapitre 21b — L'Algérie et le Mali : de la fraternité anticoloniale à la trahison</w:t>
      </w:r>
    </w:p>
    <w:p w14:paraId="3EBE9BE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29A19E0" w14:textId="77777777" w:rsidR="006E716F" w:rsidRDefault="00516243">
            <w:pPr>
              <w:spacing w:before="280"/>
            </w:pPr>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1A1A2E"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spacing w:before="280"/>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pPr>
              <w:spacing w:before="280"/>
            </w:pPr>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spacing w:after="200" w:line="264" w:lineRule="auto"/>
        <w:ind w:left="680" w:right="700"/>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pPr>
        <w:spacing w:before="160" w:after="160"/>
        <w:jc w:val="center"/>
      </w:pPr>
      <w:r>
        <w:rPr>
          <w:color w:val="7B1E1E"/>
        </w:rPr>
        <w:t>★ ★ ★</w:t>
      </w:r>
    </w:p>
    <w:p>
      <w:pPr>
        <w:spacing w:after="80"/>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spacing w:after="80"/>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spacing w:before="0" w:after="200"/>
        <w:ind w:left="680"/>
      </w:pPr>
      <w:r>
        <w:rPr>
          <w:i/>
          <w:sz w:val="19"/>
        </w:rPr>
        <w:t>— Rapport stratégique Turquie-Sahel, juin 2026</w:t>
      </w:r>
    </w:p>
    <w:p>
      <w:pPr>
        <w:spacing w:before="160" w:after="40"/>
        <w:ind w:left="680"/>
        <w:pBdr>
          <w:left w:val="single" w:sz="24" w:space="12" w:color="7B1E1E"/>
        </w:pBdr>
      </w:pPr>
      <w:r>
        <w:rPr>
          <w:i/>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spacing w:after="80"/>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spacing w:after="80"/>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spacing w:after="80"/>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spacing w:after="80"/>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spacing w:before="0" w:after="200"/>
        <w:ind w:left="680"/>
      </w:pPr>
      <w:r>
        <w:rPr>
          <w:i/>
          <w:sz w:val="19"/>
        </w:rPr>
        <w:t>— Rapport sur les relations stratégiques Turquie-Sahel, juin 2026</w:t>
      </w:r>
    </w:p>
    <w:p>
      <w:pPr>
        <w:spacing w:before="160" w:after="40"/>
        <w:ind w:left="680"/>
        <w:pBdr>
          <w:left w:val="single" w:sz="24" w:space="12" w:color="7B1E1E"/>
        </w:pBdr>
      </w:pPr>
      <w:r>
        <w:rPr>
          <w:i/>
          <w:sz w:val="21"/>
        </w:rPr>
        <w:t>« Le président Erdoğan a personnellement demandé aux industries de défense turques de livrer du matériel militaire au Niger avant même le paiement, en accordant des facilités financières à Niamey. »</w:t>
      </w:r>
    </w:p>
    <w:p>
      <w:pPr>
        <w:spacing w:after="80"/>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spacing w:after="80"/>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Pr>
      <w:r>
        <w:rPr>
          <w:rFonts w:ascii="Garamond" w:hAnsi="Garamond"/>
          <w:b w:val="0"/>
          <w:color w:val="1A1A2E"/>
          <w:sz w:val="28"/>
        </w:rP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ind w:left="2160" w:firstLine="720"/>
        <w:jc w:val="center"/>
      </w:pPr>
      <w:r w:rsidRPr="0010645E">
        <w:rPr>
          <w:rFonts w:ascii="Garamond" w:hAnsi="Garamond" w:cs="Garamond"/>
          <w:color w:val="7B1E1E"/>
        </w:rPr>
        <w:t>★ ★ ★</w:t>
      </w:r>
      <w:r w:rsidRPr="0010645E">
        <w:rPr>
          <w:color w:val="D99594" w:themeColor="accent2" w:themeTint="99"/>
        </w:rPr>
      </w:r>
      <w:r w:rsidRPr="0010645E">
        <w:rPr>
          <w:rFonts w:ascii="Garamond" w:hAnsi="Garamond" w:cs="Garamond"/>
          <w:color w:val="D99594" w:themeColor="accent2" w:themeTint="99"/>
        </w:rPr>
      </w:r>
      <w:r w:rsidRPr="0010645E">
        <w:rPr>
          <w:color w:val="D99594" w:themeColor="accent2" w:themeTint="99"/>
        </w:rPr>
      </w:r>
      <w:r w:rsidRPr="0010645E">
        <w:rPr>
          <w:rFonts w:ascii="Garamond" w:hAnsi="Garamond" w:cs="Garamond"/>
          <w:color w:val="D99594" w:themeColor="accent2" w:themeTint="99"/>
        </w:rPr>
      </w:r>
      <w:r/>
    </w:p>
    <w:p w14:paraId="16A4904E" w14:textId="77777777" w:rsidR="006E716F" w:rsidRDefault="00000000">
      <w:r>
        <w:lastRenderedPageBreak/>
        <w:br w:type="page"/>
      </w:r>
    </w:p>
    <w:p w14:paraId="4240AFD7"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GUERRE PROXY</w:t>
      </w:r>
    </w:p>
    <w:p w14:paraId="02FE5EFC" w14:textId="77777777" w:rsidR="006E716F" w:rsidRDefault="00000000">
      <w:pPr>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 — L’armée fantôme de Paris</w:t>
      </w:r>
    </w:p>
    <w:p w14:paraId="423334F5" w14:textId="77777777" w:rsidR="006E716F" w:rsidRDefault="00000000">
      <w:pPr>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pPr>
              <w:spacing w:before="280"/>
            </w:pPr>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spacing w:after="200" w:line="312" w:lineRule="auto"/>
        <w:ind w:left="680" w:right="720"/>
        <w:jc w:val="both"/>
        <w:rPr>
          <w:sz w:val="18"/>
          <w:szCs w:val="18"/>
        </w:rPr>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spacing w:after="80" w:line="288" w:lineRule="auto"/>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spacing w:after="80" w:line="288" w:lineRule="auto"/>
        <w:ind w:left="720"/>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spacing w:after="80" w:line="288" w:lineRule="auto"/>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spacing w:after="80" w:line="288" w:lineRule="auto"/>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spacing w:after="80" w:line="288" w:lineRule="auto"/>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spacing w:after="80" w:line="288" w:lineRule="auto"/>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spacing w:after="80" w:line="288" w:lineRule="auto"/>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spacing w:after="80" w:line="288" w:lineRule="auto"/>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spacing w:after="80" w:line="288" w:lineRule="auto"/>
        <w:ind w:left="720"/>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Nathalie Yamb, sur Human Rights Watch</w:t>
      </w:r>
    </w:p>
    <w:p w14:paraId="002DD532" w14:textId="77777777" w:rsidR="0028409C" w:rsidRPr="00850A62" w:rsidRDefault="00000000">
      <w:pPr>
        <w:spacing w:after="80" w:line="288" w:lineRule="auto"/>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spacing w:after="80" w:line="312" w:lineRule="auto"/>
        <w:jc w:val="center"/>
      </w:pPr>
      <w:r>
        <w:rPr>
          <w:rFonts w:ascii="Garamond" w:hAnsi="Garamond"/>
          <w:color w:val="7B1E1E"/>
          <w:sz w:val="22"/>
        </w:rPr>
        <w:t>★ ★ ★</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spacing w:after="80" w:line="288" w:lineRule="auto"/>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spacing w:after="80" w:line="288" w:lineRule="auto"/>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spacing w:after="80" w:line="288" w:lineRule="auto"/>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spacing w:after="80" w:line="288" w:lineRule="auto"/>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spacing w:after="80" w:line="288" w:lineRule="auto"/>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spacing w:after="80" w:line="288" w:lineRule="auto"/>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spacing w:after="80" w:line="312" w:lineRule="auto"/>
        <w:jc w:val="center"/>
      </w:pPr>
      <w:r>
        <w:rPr>
          <w:rFonts w:ascii="Garamond" w:hAnsi="Garamond"/>
          <w:color w:val="7B1E1E"/>
          <w:sz w:val="22"/>
        </w:rPr>
        <w:t>★ ★ ★</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spacing w:after="80" w:line="288" w:lineRule="auto"/>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spacing w:after="80" w:line="288" w:lineRule="auto"/>
        <w:ind w:left="720"/>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spacing w:after="200" w:line="288" w:lineRule="auto"/>
        <w:ind w:left="680"/>
        <w:jc w:val="right"/>
        <w:rPr>
          <w:i/>
          <w:iCs/>
          <w:sz w:val="18"/>
          <w:szCs w:val="18"/>
        </w:rPr>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spacing w:after="80" w:line="288" w:lineRule="auto"/>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spacing w:after="80" w:line="288" w:lineRule="auto"/>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spacing w:after="80" w:line="288" w:lineRule="auto"/>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Jonathan Batenguène, Panafrican Média TV, 10 mai 2026</w:t>
      </w:r>
    </w:p>
    <w:p w14:paraId="047E8E7E" w14:textId="77777777" w:rsidR="0028409C" w:rsidRDefault="00000000">
      <w:pPr>
        <w:spacing w:after="80" w:line="312" w:lineRule="auto"/>
        <w:jc w:val="center"/>
      </w:pPr>
      <w:r>
        <w:rPr>
          <w:rFonts w:ascii="Garamond" w:hAnsi="Garamond"/>
          <w:color w:val="7B1E1E"/>
          <w:sz w:val="22"/>
        </w:rPr>
        <w:t>★ ★ ★</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spacing w:after="80" w:line="288" w:lineRule="auto"/>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spacing w:after="80" w:line="288" w:lineRule="auto"/>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spacing w:after="80" w:line="288" w:lineRule="auto"/>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spacing w:after="80" w:line="288" w:lineRule="auto"/>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spacing w:after="80" w:line="312" w:lineRule="auto"/>
        <w:jc w:val="center"/>
      </w:pPr>
      <w:bookmarkStart w:id="2" w:name="_Hlk231837790"/>
      <w:r>
        <w:rPr>
          <w:rFonts w:ascii="Garamond" w:hAnsi="Garamond"/>
          <w:color w:val="7B1E1E"/>
          <w:sz w:val="22"/>
        </w:rPr>
        <w:t>★ ★ ★</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spacing w:after="200" w:line="264" w:lineRule="auto"/>
        <w:ind w:left="680" w:right="700"/>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spacing w:before="160" w:after="160"/>
        <w:jc w:val="center"/>
      </w:pPr>
      <w:r>
        <w:rPr>
          <w:color w:val="7B1E1E"/>
        </w:rPr>
        <w:t>★ ★ ★</w:t>
      </w:r>
    </w:p>
    <w:p>
      <w:pPr>
        <w:spacing w:after="80"/>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spacing w:before="0" w:after="200"/>
        <w:ind w:left="680"/>
      </w:pPr>
      <w:r>
        <w:rPr>
          <w:i/>
          <w:sz w:val="19"/>
        </w:rPr>
        <w:t>— Thomson Eran, analyste panafricaniste, Paroles Panafricanistes, 2024</w:t>
      </w:r>
    </w:p>
    <w:p>
      <w:pPr>
        <w:spacing w:before="160" w:after="40"/>
        <w:ind w:left="680"/>
        <w:pBdr>
          <w:left w:val="single" w:sz="24" w:space="12" w:color="7B1E1E"/>
        </w:pBdr>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spacing w:after="80"/>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spacing w:after="80"/>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spacing w:after="80"/>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spacing w:after="80"/>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spacing w:before="0" w:after="200"/>
        <w:ind w:left="680"/>
      </w:pPr>
      <w:r>
        <w:rPr>
          <w:i/>
          <w:sz w:val="19"/>
        </w:rPr>
        <w:t>— Thomson Eran, analyste panafricaniste, Paroles Panafricanistes, 2024</w:t>
      </w:r>
    </w:p>
    <w:p>
      <w:pPr>
        <w:spacing w:before="160" w:after="40"/>
        <w:ind w:left="680"/>
        <w:pBdr>
          <w:left w:val="single" w:sz="24" w:space="12" w:color="7B1E1E"/>
        </w:pBdr>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spacing w:after="80"/>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spacing w:after="80"/>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spacing w:before="0" w:after="200"/>
        <w:ind w:left="680"/>
      </w:pPr>
      <w:r>
        <w:rPr>
          <w:i/>
          <w:sz w:val="19"/>
        </w:rPr>
        <w:t>— Andrii Lousov, chef du renseignement militaire ukrainien (GUR), télévision ukrainienne, août 2024</w:t>
      </w:r>
    </w:p>
    <w:p>
      <w:pPr>
        <w:spacing w:before="160" w:after="40"/>
        <w:ind w:left="680"/>
        <w:pBdr>
          <w:left w:val="single" w:sz="24" w:space="12" w:color="7B1E1E"/>
        </w:pBdr>
      </w:pPr>
      <w:r>
        <w:rPr>
          <w:i/>
          <w:sz w:val="21"/>
        </w:rPr>
        <w:t>« Le fait que les rebelles aient reçu les données nécessaires qui leur ont permis de mener à bien une opération contre les militaires maliens a déjà été observé par ces derniers. »</w:t>
      </w:r>
    </w:p>
    <w:p>
      <w:pPr>
        <w:spacing w:after="80"/>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spacing w:after="80"/>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Pr>
      <w:r>
        <w:rPr>
          <w:rFonts w:ascii="Garamond" w:hAnsi="Garamond"/>
          <w:b w:val="0"/>
          <w:color w:val="1A1A2E"/>
          <w:sz w:val="28"/>
        </w:rP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27 — Les attaques du 25 avril 2026</w:t>
      </w:r>
    </w:p>
    <w:p w14:paraId="0CCC2AE5" w14:textId="77777777" w:rsidR="006E716F" w:rsidRDefault="00000000">
      <w:pPr>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pPr>
              <w:spacing w:before="280"/>
            </w:pPr>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ind w:left="2160" w:firstLine="720"/>
        <w:jc w:val="center"/>
      </w:pPr>
      <w:r w:rsidRPr="0010645E">
        <w:rPr>
          <w:rFonts w:ascii="Segoe UI Symbol" w:hAnsi="Segoe UI Symbol" w:cs="Segoe UI Symbol"/>
          <w:color w:val="7B1E1E"/>
        </w:rPr>
        <w:t>★ ★ ★</w:t>
      </w:r>
      <w:r w:rsidR="00000000"/>
    </w:p>
    <w:p w14:paraId="32081B3A" w14:textId="77777777" w:rsidR="006E716F" w:rsidRDefault="00000000">
      <w:r>
        <w:lastRenderedPageBreak/>
        <w:br w:type="page"/>
      </w:r>
    </w:p>
    <w:p w14:paraId="7C09606D"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DÉFIS INTERNES DE L’AES</w:t>
      </w:r>
    </w:p>
    <w:p w14:paraId="3C522661" w14:textId="77777777" w:rsidR="006E716F" w:rsidRDefault="00000000">
      <w:pPr>
        <w:spacing w:after="80" w:line="312" w:lineRule="auto"/>
        <w:ind w:firstLine="397"/>
        <w:jc w:val="both"/>
      </w:pPr>
      <w:r>
        <w:rPr>
          <w:rFonts w:ascii="Garamond" w:eastAsia="Arial" w:hAnsi="Garamond" w:cs="Arial"/>
          <w:i/>
          <w:iCs/>
          <w:color w:val="1A1A1A"/>
          <w:sz w:val="22"/>
          <w:szCs w:val="22"/>
        </w:rPr>
        <w:t>Ce que le projet souverain doit surmonter</w:t>
      </w:r>
    </w:p>
    <w:p>
      <w:pPr>
        <w:pStyle w:val="Titre2"/>
      </w:pPr>
      <w:r>
        <w:rPr>
          <w:rFonts w:ascii="Garamond" w:hAnsi="Garamond"/>
          <w:b w:val="0"/>
          <w:color w:val="1A1A2E"/>
          <w:sz w:val="28"/>
        </w:rPr>
        <w:t>Chapitre 28b — L'Affaire Vésilier : Quand la Justice Africaine Tient Bon</w:t>
      </w:r>
    </w:p>
    <w:p>
      <w:pPr>
        <w:spacing w:after="8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spacing w:after="8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spacing w:after="8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spacing w:after="8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spacing w:after="40"/>
        <w:ind w:left="680"/>
        <w:pBdr>
          <w:left w:val="single" w:sz="24" w:space="12" w:color="7B1E1E"/>
        </w:pBdr>
      </w:pPr>
      <w:r>
        <w:rPr>
          <w:rFonts w:ascii="Garamond" w:hAnsi="Garamond"/>
          <w:i/>
          <w:sz w:val="21"/>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r>
        <w:rPr>
          <w:i/>
        </w:rPr>
        <w:t>— Nathalie Yamb, analyste géopolitique, juin 2026</w:t>
      </w:r>
    </w:p>
    <w:p>
      <w:pPr>
        <w:spacing w:after="80"/>
        <w:ind w:firstLine="397"/>
        <w:jc w:val="both"/>
      </w:pPr>
      <w:r>
        <w:rPr>
          <w:rFonts w:ascii="Garamond" w:hAnsi="Garamond"/>
          <w:sz w:val="22"/>
        </w:rPr>
        <w:t>Trois silences. Trois absences. Trois signaux d'alarme que la jubilation populaire risque de masquer.</w:t>
      </w:r>
    </w:p>
    <w:p>
      <w:pPr>
        <w:spacing w:before="360" w:after="120"/>
      </w:pPr>
      <w:r>
        <w:rPr>
          <w:b/>
          <w:sz w:val="22"/>
        </w:rPr>
        <w:t>Le précédent de Wagadou</w:t>
      </w:r>
    </w:p>
    <w:p>
      <w:pPr>
        <w:spacing w:after="8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spacing w:after="40"/>
        <w:ind w:left="680"/>
        <w:pBdr>
          <w:left w:val="single" w:sz="24" w:space="12" w:color="7B1E1E"/>
        </w:pBdr>
      </w:pPr>
      <w:r>
        <w:rPr>
          <w:rFonts w:ascii="Garamond" w:hAnsi="Garamond"/>
          <w:i/>
          <w:sz w:val="21"/>
        </w:rPr>
        <w:t>« Peut-être maintenant que notre ambassadeur et notre contingent ne sont plus otages au Niger, nous aurons peut-être plus de latitude pour monter des opérations de déstabilisation cette fois-ci plus clandestines. »</w:t>
      </w:r>
    </w:p>
    <w:p>
      <w:pPr/>
      <w:r>
        <w:rPr>
          <w:i/>
        </w:rPr>
        <w:t>— Source sécuritaire française, plateau de télévision, 2024</w:t>
      </w:r>
    </w:p>
    <w:p>
      <w:pPr>
        <w:spacing w:after="80"/>
        <w:ind w:firstLine="397"/>
        <w:jc w:val="both"/>
      </w:pPr>
      <w:r>
        <w:rPr>
          <w:rFonts w:ascii="Garamond" w:hAnsi="Garamond"/>
          <w:sz w:val="22"/>
        </w:rPr>
        <w:t>Pas une menace voilée. Une annonce de programme.</w:t>
      </w:r>
    </w:p>
    <w:p>
      <w:pPr>
        <w:spacing w:before="360" w:after="120"/>
      </w:pPr>
      <w:r>
        <w:rPr>
          <w:b/>
          <w:sz w:val="22"/>
        </w:rPr>
        <w:t>L'Arche de Zoé : la mémoire comme vaccin</w:t>
      </w:r>
    </w:p>
    <w:p>
      <w:pPr>
        <w:spacing w:after="8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spacing w:before="360" w:after="120"/>
      </w:pPr>
      <w:r>
        <w:rPr>
          <w:b/>
          <w:sz w:val="22"/>
        </w:rPr>
        <w:t>Le cadre de Yamb : deux conditions, pas de troisième</w:t>
      </w:r>
    </w:p>
    <w:p>
      <w:pPr>
        <w:spacing w:after="80"/>
        <w:ind w:firstLine="397"/>
        <w:jc w:val="both"/>
      </w:pPr>
      <w:r>
        <w:rPr>
          <w:rFonts w:ascii="Garamond" w:hAnsi="Garamond"/>
          <w:sz w:val="22"/>
        </w:rPr>
        <w:t>Yamb pose les termes avec une clarté qui ne laisse pas de place à l'ambiguïté :</w:t>
      </w:r>
    </w:p>
    <w:p>
      <w:pPr>
        <w:spacing w:after="40"/>
        <w:ind w:left="680"/>
        <w:pBdr>
          <w:left w:val="single" w:sz="24" w:space="12" w:color="7B1E1E"/>
        </w:pBdr>
      </w:pPr>
      <w:r>
        <w:rPr>
          <w:rFonts w:ascii="Garamond" w:hAnsi="Garamond"/>
          <w:i/>
          <w:sz w:val="21"/>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r>
        <w:rPr>
          <w:i/>
        </w:rPr>
        <w:t>— Nathalie Yamb, juin 2026</w:t>
      </w:r>
    </w:p>
    <w:p>
      <w:pPr>
        <w:spacing w:after="8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spacing w:after="80"/>
        <w:ind w:firstLine="397"/>
        <w:jc w:val="both"/>
      </w:pPr>
      <w:r>
        <w:rPr>
          <w:rFonts w:ascii="Garamond" w:hAnsi="Garamond"/>
          <w:sz w:val="22"/>
        </w:rPr>
        <w:t>Yamb engage aussi la responsabilité historique des dirigeants maliens :</w:t>
      </w:r>
    </w:p>
    <w:p>
      <w:pPr>
        <w:spacing w:after="40"/>
        <w:ind w:left="680"/>
        <w:pBdr>
          <w:left w:val="single" w:sz="24" w:space="12" w:color="7B1E1E"/>
        </w:pBdr>
      </w:pPr>
      <w:r>
        <w:rPr>
          <w:rFonts w:ascii="Garamond" w:hAnsi="Garamond"/>
          <w:i/>
          <w:sz w:val="21"/>
        </w:rPr>
        <w:t>« Si un jour quelqu'un au Mali décide qu'il doit libérer Vésilier en dehors du cadre que je viens d'énoncer, on saura que cette personne n'est pas, ou bien n'est plus, dans le combat avec nous — et qu'elle était derrière l'assassinat de Sadio Kamara. »</w:t>
      </w:r>
    </w:p>
    <w:p>
      <w:pPr/>
      <w:r>
        <w:rPr>
          <w:i/>
        </w:rPr>
        <w:t>— Nathalie Yamb, juin 2026</w:t>
      </w:r>
    </w:p>
    <w:p>
      <w:pPr>
        <w:spacing w:before="360" w:after="120"/>
      </w:pPr>
      <w:r>
        <w:rPr>
          <w:b/>
          <w:sz w:val="22"/>
        </w:rPr>
        <w:t>La dissuasion comme doctrine</w:t>
      </w:r>
    </w:p>
    <w:p>
      <w:pPr>
        <w:spacing w:after="8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spacing w:after="40"/>
        <w:ind w:left="680"/>
        <w:pBdr>
          <w:left w:val="single" w:sz="24" w:space="12" w:color="7B1E1E"/>
        </w:pBdr>
      </w:pPr>
      <w:r>
        <w:rPr>
          <w:rFonts w:ascii="Garamond" w:hAnsi="Garamond"/>
          <w:i/>
          <w:sz w:val="21"/>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r>
        <w:rPr>
          <w:i/>
        </w:rPr>
        <w:t>— Nathalie Yamb, juin 2026</w:t>
      </w:r>
    </w:p>
    <w:p>
      <w:pPr>
        <w:spacing w:after="80"/>
        <w:ind w:firstLine="397"/>
        <w:jc w:val="both"/>
      </w:pPr>
      <w:r>
        <w:rPr>
          <w:rFonts w:ascii="Garamond" w:hAnsi="Garamond"/>
          <w:sz w:val="22"/>
        </w:rPr>
        <w:t>C'est l'argument du coût. L'espionnage hostile n'est pas une vocation — c'est un calcul. Modifier le calcul, c'est modifier le comportement.</w:t>
      </w:r>
    </w:p>
    <w:p>
      <w:pPr>
        <w:spacing w:after="80"/>
        <w:ind w:firstLine="397"/>
        <w:jc w:val="both"/>
      </w:pPr>
      <w:r>
        <w:rPr>
          <w:rFonts w:ascii="Garamond" w:hAnsi="Garamond"/>
          <w:sz w:val="22"/>
        </w:rPr>
        <w:t>La condamnation de Vésilier est une première. Elle mérite d'être saluée. Elle mérite plus encore d'être tenue.</w:t>
      </w:r>
    </w:p>
    <w:p>
      <w:pPr>
        <w:spacing w:before="320" w:after="320"/>
        <w:jc w:val="center"/>
      </w:pPr>
      <w:r>
        <w:rPr>
          <w:color w:val="7B1E1E"/>
        </w:rPr>
        <w:t>★ ★ ★</w:t>
      </w:r>
    </w:p>
    <w:p w14:paraId="5FB30FEA" w14:textId="77777777" w:rsidR="006E716F" w:rsidRDefault="00000000">
      <w:pPr>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pPr>
              <w:spacing w:before="280"/>
            </w:pPr>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spacing w:after="200" w:line="264" w:lineRule="auto"/>
        <w:ind w:left="680" w:right="700"/>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29 — La menace jihadiste persistante</w:t>
      </w:r>
    </w:p>
    <w:p>
      <w:pPr>
        <w:spacing w:before="160" w:after="160"/>
        <w:jc w:val="center"/>
      </w:pPr>
      <w:r>
        <w:rPr>
          <w:color w:val="7B1E1E"/>
        </w:rPr>
        <w:t>★ ★ ★</w:t>
      </w:r>
    </w:p>
    <w:p>
      <w:pPr>
        <w:spacing w:after="80"/>
      </w:pPr>
      <w:r>
        <w:t>La Confédération de l'AES a posé un calendrier de transition vers des institutions civiles. Ce calendrier est contesté, régulièrement repoussé, critiqué par les partenaires internationaux. Mais l'exigence de retour rapide à des élections dans des pays en guerre — où les filets de renseignement ennemis sont actifs, où des ambassadeurs étrangers financent des candidatures de substitution — n'est pas une exigence démocratique. C'est une stratégie de déstabilisation habillée en principe universel. La démocratie réelle se construit dans la sécurité, la souveraineté et la justice sociale. Ces trois conditions ne sont pas encore réunies. Le calendrier de leur réunion appartient aux peuples du Sahel — pas aux institutions qui ont bénéficié de leur vassalisation.</w:t>
      </w:r>
    </w:p>
    <w:p>
      <w:pPr>
        <w:spacing w:after="80"/>
      </w:pPr>
      <w:r>
        <w:t>Cet aveu de Maïga est l'un des documents les plus précieux du corpus. Il dit que le projet de souveraineté est réel — et qu'il est fragile. Les réseaux endocoloniaux n'ont pas disparu avec les coups d'État. Ils se sont réorganisés. Ils ont infiltré les ministères, les états-majors, les milieux d'affaires, les médias proches des transitions. La révolution n'est pas accomplie parce que les symboles ont changé. Elle ne le sera que si les structures changent — et si les structures nouvelles résistent à la recolonisation par les intérêts qu'elles étaient censées remplacer.</w:t>
      </w:r>
    </w:p>
    <w:p>
      <w:pPr>
        <w:spacing w:before="0" w:after="200"/>
        <w:ind w:left="680"/>
      </w:pPr>
      <w:r>
        <w:rPr>
          <w:i/>
          <w:sz w:val="19"/>
        </w:rPr>
        <w:t>— Choguel Kokalla Maïga, Premier ministre du Mali, déclaration publique</w:t>
      </w:r>
    </w:p>
    <w:p>
      <w:pPr>
        <w:spacing w:before="160" w:after="40"/>
        <w:ind w:left="680"/>
        <w:pBdr>
          <w:left w:val="single" w:sz="24" w:space="12" w:color="7B1E1E"/>
        </w:pBdr>
      </w:pPr>
      <w:r>
        <w:rPr>
          <w:i/>
          <w:sz w:val="21"/>
        </w:rPr>
        <w:t>« Beaucoup de leurs réseaux ont infiltré la transition aujourd'hui. »</w:t>
      </w:r>
    </w:p>
    <w:p>
      <w:pPr>
        <w:spacing w:after="80"/>
      </w:pPr>
      <w:r>
        <w:t>La vraie question démocratique n'est pas : ces dirigeants sont-ils élus ? Elle est triple : les transitions produisent-elles des institutions ou des règnes personnels ? Les droits fondamentaux sont-ils respectés en dehors des discours ? Les minorités sont-elles protégées ? À ces trois questions, les réponses ne sont pas définitives. L'AES est en construction. Ses institutions sont en gestation. Ses transitions sont des processus ouverts, non des aboutissements figés.</w:t>
      </w:r>
    </w:p>
    <w:p>
      <w:pPr>
        <w:spacing w:before="0" w:after="200"/>
        <w:ind w:left="680"/>
      </w:pPr>
      <w:r>
        <w:rPr>
          <w:i/>
          <w:sz w:val="19"/>
        </w:rPr>
        <w:t>— Nathalie Yamb, analyste géopolitique</w:t>
      </w:r>
    </w:p>
    <w:p>
      <w:pPr>
        <w:spacing w:before="160" w:after="40"/>
        <w:ind w:left="680"/>
        <w:pBdr>
          <w:left w:val="single" w:sz="24" w:space="12" w:color="7B1E1E"/>
        </w:pBdr>
      </w:pPr>
      <w:r>
        <w:rPr>
          <w:i/>
          <w:sz w:val="21"/>
        </w:rPr>
        <w:t>«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spacing w:after="80"/>
      </w:pPr>
      <w:r>
        <w:t>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aucune parole sur les accords de défense qui plaçaient leur pays sous tutelle militaire étrangère. L'urne avait été respectée. La souveraineté avait été trahie. C'est la contradiction centrale que les transitions ont exposée en la renversant — non en la résolvant.</w:t>
      </w:r>
    </w:p>
    <w:p>
      <w:pPr>
        <w:spacing w:after="80"/>
      </w:pPr>
      <w:r>
        <w:t>La question démocratique est la plus difficile pour tout analyste honnête de l'AES. Elle ne peut pas être esquivée. Les gouvernements du Mali, du Burkina Faso et du Niger sont militaires. Ils ne sont pas issus d'élections. Ce fait existe. Il doit être nommé. La défense de la souveraineté africaine n'exige pas de l'ignorer — elle exige de le contextualiser avec la même rigueur qu'on applique aux autres faits de ce corpus.</w:t>
      </w:r>
    </w:p>
    <w:p>
      <w:pPr>
        <w:pStyle w:val="Titre2"/>
      </w:pPr>
      <w:r>
        <w:rPr>
          <w:rFonts w:ascii="Garamond" w:hAnsi="Garamond"/>
          <w:b w:val="0"/>
          <w:color w:val="1A1A2E"/>
          <w:sz w:val="28"/>
        </w:rPr>
        <w:t>Chapitre 29b — La vraie question démocratique dans l'AES : légitimité, institutions et infiltration</w:t>
      </w:r>
    </w:p>
    <w:p w14:paraId="0057300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spacing w:after="40" w:line="312" w:lineRule="auto" w:before="160"/>
        <w:ind w:left="680" w:right="720"/>
        <w:jc w:val="both"/>
        <w:rPr>
          <w:color w:val="943634" w:themeColor="accent2" w:themeShade="BF"/>
        </w:rPr>
        <w:pBdr>
          <w:left w:val="single" w:sz="24" w:space="12" w:color="7B1E1E"/>
        </w:pBd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spacing w:after="200" w:line="312" w:lineRule="auto"/>
        <w:ind w:left="680" w:right="720"/>
        <w:jc w:val="both"/>
        <w:rPr>
          <w:i/>
          <w:iCs/>
          <w:sz w:val="18"/>
          <w:szCs w:val="18"/>
        </w:rPr>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pPr>
              <w:spacing w:before="280"/>
            </w:pPr>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L’HORIZON SOUVERAIN</w:t>
      </w:r>
    </w:p>
    <w:p w14:paraId="5845FB51" w14:textId="77777777" w:rsidR="006E716F" w:rsidRDefault="00000000">
      <w:pPr>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Pr>
      <w:r w:rsidRPr="0064189E">
        <w:rPr>
          <w:rFonts w:ascii="Garamond" w:eastAsia="Georgia" w:hAnsi="Garamond" w:cs="Georgia"/>
          <w:b w:val="0"/>
          <w:color w:val="1A1A2E"/>
          <w:sz w:val="28"/>
          <w:szCs w:val="26"/>
        </w:rPr>
        <w:t>Chapitre 32 — Les morts de Barkhane : autopsie d’un mensonge d’État</w:t>
      </w:r>
    </w:p>
    <w:p w14:paraId="00320002" w14:textId="77777777" w:rsidR="0028409C" w:rsidRDefault="00000000">
      <w:pPr>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spacing w:after="80" w:line="312" w:lineRule="auto"/>
        <w:ind w:left="2160" w:firstLine="720"/>
        <w:jc w:val="center"/>
        <w:rPr>
          <w:color w:val="943634" w:themeColor="accent2" w:themeShade="BF"/>
        </w:rPr>
      </w:pPr>
      <w:r w:rsidRPr="00A82CA8">
        <w:rPr>
          <w:rFonts w:ascii="Segoe UI Symbol" w:hAnsi="Segoe UI Symbol" w:cs="Segoe UI Symbol"/>
          <w:color w:val="7B1E1E"/>
        </w:rPr>
        <w:t>★ ★ ★</w:t>
      </w:r>
    </w:p>
    <w:p w14:paraId="0FC7460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spacing w:after="200" w:line="264" w:lineRule="auto"/>
        <w:ind w:left="680" w:right="700"/>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C86088E" w14:textId="77777777" w:rsidR="006E716F" w:rsidRDefault="00000000">
            <w:pPr>
              <w:spacing w:before="280"/>
            </w:pPr>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spacing w:before="160" w:after="160"/>
        <w:jc w:val="center"/>
      </w:pPr>
      <w:r>
        <w:rPr>
          <w:color w:val="7B1E1E"/>
        </w:rPr>
        <w:t>★ ★ ★</w:t>
      </w:r>
    </w:p>
    <w:p>
      <w:pPr>
        <w:spacing w:after="80"/>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spacing w:before="0" w:after="200"/>
        <w:ind w:left="680"/>
      </w:pPr>
      <w:r>
        <w:rPr>
          <w:i/>
          <w:sz w:val="19"/>
        </w:rPr>
        <w:t>— Dr Hamdi Mabrouk, Paroles Panafricanistes, juin 2022</w:t>
      </w:r>
    </w:p>
    <w:p>
      <w:pPr>
        <w:spacing w:before="160" w:after="40"/>
        <w:ind w:left="680"/>
        <w:pBdr>
          <w:left w:val="single" w:sz="24" w:space="12" w:color="7B1E1E"/>
        </w:pBdr>
      </w:pPr>
      <w:r>
        <w:rPr>
          <w:i/>
          <w:sz w:val="21"/>
        </w:rPr>
        <w:t>« Si la Centrafrique réussit, c'est toute l'Afrique qui réussit. Si la Centrafrique échoue, c'est toute l'Afrique qu'ils auront abandonnée alors qu'une réussite était possible. »</w:t>
      </w:r>
    </w:p>
    <w:p>
      <w:pPr>
        <w:spacing w:after="80"/>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spacing w:after="80"/>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spacing w:after="80"/>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spacing w:after="80"/>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spacing w:before="0" w:after="200"/>
        <w:ind w:left="680"/>
      </w:pPr>
      <w:r>
        <w:rPr>
          <w:i/>
          <w:sz w:val="19"/>
        </w:rPr>
        <w:t>— Dr Hamdi Mabrouk, Paroles Panafricanistes, juin 2022</w:t>
      </w:r>
    </w:p>
    <w:p>
      <w:pPr>
        <w:spacing w:before="160" w:after="40"/>
        <w:ind w:left="680"/>
        <w:pBdr>
          <w:left w:val="single" w:sz="24" w:space="12" w:color="7B1E1E"/>
        </w:pBdr>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spacing w:after="80"/>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spacing w:after="80"/>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spacing w:after="80"/>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spacing w:before="0" w:after="200"/>
        <w:ind w:left="680"/>
      </w:pPr>
      <w:r>
        <w:rPr>
          <w:i/>
          <w:sz w:val="19"/>
        </w:rPr>
        <w:t>— Dr Hamdi Mabrouk, économiste, Paroles Panafricanistes, juin 2022</w:t>
      </w:r>
    </w:p>
    <w:p>
      <w:pPr>
        <w:spacing w:before="160" w:after="40"/>
        <w:ind w:left="680"/>
        <w:pBdr>
          <w:left w:val="single" w:sz="24" w:space="12" w:color="7B1E1E"/>
        </w:pBdr>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spacing w:after="80"/>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spacing w:after="80"/>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Pr>
      <w:r>
        <w:rPr>
          <w:rFonts w:ascii="Garamond" w:hAnsi="Garamond"/>
          <w:b w:val="0"/>
          <w:color w:val="1A1A2E"/>
          <w:sz w:val="28"/>
        </w:rP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34 — L’armée fédérale sahélienne</w:t>
      </w:r>
    </w:p>
    <w:p w14:paraId="4A13EC86" w14:textId="77777777" w:rsidR="006E716F" w:rsidRDefault="00000000">
      <w:pPr>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spacing w:before="160" w:after="160"/>
        <w:jc w:val="center"/>
      </w:pPr>
      <w:r>
        <w:rPr>
          <w:color w:val="7B1E1E"/>
        </w:rPr>
        <w:t>★ ★ ★</w:t>
      </w:r>
    </w:p>
    <w:p>
      <w:pPr>
        <w:spacing w:after="80"/>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spacing w:after="80"/>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spacing w:after="80"/>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spacing w:before="0" w:after="200"/>
        <w:ind w:left="680"/>
      </w:pPr>
      <w:r>
        <w:rPr>
          <w:i/>
          <w:sz w:val="19"/>
        </w:rPr>
        <w:t>— Parfait Patient Ndom, analyste, sur la réforme des curricula africains</w:t>
      </w:r>
    </w:p>
    <w:p>
      <w:pPr>
        <w:spacing w:before="160" w:after="40"/>
        <w:ind w:left="680"/>
        <w:pBdr>
          <w:left w:val="single" w:sz="24" w:space="12" w:color="7B1E1E"/>
        </w:pBdr>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spacing w:after="80"/>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spacing w:after="80"/>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spacing w:after="80"/>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spacing w:before="0" w:after="200"/>
        <w:ind w:left="680"/>
      </w:pPr>
      <w:r>
        <w:rPr>
          <w:i/>
          <w:sz w:val="19"/>
        </w:rPr>
        <w:t>— Parfait Patient Ndom, analyste, sur la politique éducative africaine</w:t>
      </w:r>
    </w:p>
    <w:p>
      <w:pPr>
        <w:spacing w:before="160" w:after="40"/>
        <w:ind w:left="680"/>
        <w:pBdr>
          <w:left w:val="single" w:sz="24" w:space="12" w:color="7B1E1E"/>
        </w:pBdr>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spacing w:after="80"/>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spacing w:after="80"/>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spacing w:after="80"/>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Pr>
      <w:r>
        <w:rPr>
          <w:rFonts w:ascii="Garamond" w:hAnsi="Garamond"/>
          <w:b w:val="0"/>
          <w:color w:val="1A1A2E"/>
          <w:sz w:val="28"/>
        </w:rPr>
        <w:t>Chapitre 35b — L'éducation comme arme de souveraineté</w:t>
      </w:r>
    </w:p>
    <w:p w14:paraId="1AF2874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36 — Sankara avait raison</w:t>
      </w:r>
    </w:p>
    <w:p w14:paraId="653D8297" w14:textId="77777777" w:rsidR="006E716F" w:rsidRDefault="00000000">
      <w:pPr>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spacing w:before="160" w:after="40" w:line="276" w:lineRule="auto"/>
        <w:ind w:left="680" w:right="283"/>
        <w:pBdr>
          <w:left w:val="single" w:sz="24" w:space="12" w:color="7B1E1E"/>
        </w:pBdr>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spacing w:after="200" w:line="264" w:lineRule="auto"/>
        <w:ind w:left="680" w:right="700"/>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spacing w:after="80" w:line="288" w:lineRule="auto"/>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spacing w:after="80" w:line="288" w:lineRule="auto"/>
        <w:ind w:left="720"/>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spacing w:after="200" w:line="288" w:lineRule="auto"/>
        <w:ind w:left="680"/>
        <w:jc w:val="center"/>
        <w:rPr>
          <w:rFonts w:ascii="Garamond" w:eastAsia="Arial" w:hAnsi="Garamond" w:cs="Arial"/>
          <w:i/>
          <w:iCs/>
          <w:sz w:val="18"/>
          <w:szCs w:val="18"/>
        </w:rPr>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spacing w:after="80" w:line="288" w:lineRule="auto"/>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spacing w:after="80" w:line="288" w:lineRule="auto"/>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spacing w:after="80" w:line="288" w:lineRule="auto"/>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spacing w:after="80" w:line="288" w:lineRule="auto"/>
        <w:ind w:left="720"/>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spacing w:after="200" w:line="288" w:lineRule="auto"/>
        <w:ind w:left="680"/>
        <w:jc w:val="right"/>
        <w:rPr>
          <w:rFonts w:ascii="Garamond" w:eastAsia="Arial" w:hAnsi="Garamond" w:cs="Arial"/>
          <w:i/>
          <w:iCs/>
          <w:sz w:val="18"/>
          <w:szCs w:val="18"/>
        </w:rPr>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spacing w:after="80" w:line="288" w:lineRule="auto"/>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spacing w:after="80" w:line="312" w:lineRule="auto"/>
        <w:jc w:val="center"/>
      </w:pPr>
      <w:r>
        <w:rPr>
          <w:rFonts w:ascii="Garamond" w:hAnsi="Garamond"/>
          <w:color w:val="7B1E1E"/>
          <w:sz w:val="22"/>
        </w:rPr>
        <w:t>★ ★ ★</w:t>
      </w:r>
    </w:p>
    <w:p w14:paraId="018F0994"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pPr>
              <w:spacing w:before="280"/>
            </w:pPr>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pageBreakBefore/>
        <w:spacing w:before="720" w:after="280" w:line="288" w:lineRule="auto"/>
      </w:pPr>
      <w:r>
        <w:rPr>
          <w:rFonts w:ascii="Garamond" w:eastAsia="Arial" w:hAnsi="Garamond" w:cs="Arial"/>
          <w:b/>
          <w:bCs/>
          <w:color w:val="1A1A2E"/>
          <w:sz w:val="28"/>
          <w:szCs w:val="36"/>
        </w:rPr>
        <w:lastRenderedPageBreak/>
        <w:t>ÉPILOGUE</w:t>
      </w:r>
    </w:p>
    <w:p w14:paraId="05EFBC99" w14:textId="77777777" w:rsidR="006E716F" w:rsidRDefault="00000000">
      <w:pPr>
        <w:spacing w:before="240" w:after="120" w:line="288" w:lineRule="auto"/>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spacing w:after="80" w:line="312" w:lineRule="auto"/>
        <w:ind w:left="2160" w:firstLine="720"/>
        <w:jc w:val="center"/>
        <w:rPr>
          <w:rFonts w:ascii="Garamond" w:hAnsi="Garamond"/>
          <w:b/>
          <w:bCs/>
          <w:color w:val="D99594" w:themeColor="accent2" w:themeTint="99"/>
          <w:sz w:val="22"/>
          <w:szCs w:val="22"/>
        </w:rPr>
      </w:pPr>
      <w:bookmarkStart w:id="3" w:name="_Hlk231330285"/>
      <w:r w:rsidRPr="00745E9D">
        <w:rPr>
          <w:rFonts w:ascii="Garamond" w:hAnsi="Garamond"/>
          <w:b/>
          <w:bCs/>
          <w:color w:val="7B1E1E"/>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spacing w:before="160" w:after="80"/>
      </w:pPr>
      <w:r>
        <w:rPr>
          <w:rFonts w:ascii="Garamond" w:hAnsi="Garamond"/>
          <w:b/>
          <w:sz w:val="22"/>
        </w:rPr>
        <w:t>Note sur les sources panafricanistes et militantes</w:t>
      </w:r>
    </w:p>
    <w:p w14:paraId="0FF00002" w14:textId="77777777" w:rsidR="0028409C" w:rsidRDefault="00000000">
      <w:pPr>
        <w:spacing w:after="80" w:line="288" w:lineRule="auto"/>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spacing w:after="80" w:line="288" w:lineRule="auto"/>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spacing w:after="80" w:line="288" w:lineRule="auto"/>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spacing w:after="160" w:line="288" w:lineRule="auto"/>
        <w:jc w:val="center"/>
        <w:rPr>
          <w:sz w:val="28"/>
          <w:szCs w:val="28"/>
        </w:rPr>
      </w:pPr>
      <w:r>
        <w:rPr>
          <w:rFonts w:ascii="Garamond" w:hAnsi="Garamond"/>
          <w:b/>
          <w:bCs/>
          <w:color w:val="7B1E1E"/>
          <w:sz w:val="56"/>
          <w:szCs w:val="56"/>
        </w:rPr>
        <w:t>★ ★ ★</w:t>
      </w:r>
      <w:r w:rsidR="00F50583">
        <w:rPr>
          <w:rFonts w:ascii="Garamond" w:hAnsi="Garamond"/>
          <w:b/>
          <w:bCs/>
          <w:color w:val="1A1A2E"/>
          <w:sz w:val="56"/>
          <w:szCs w:val="56"/>
        </w:rPr>
      </w:r>
      <w:r>
        <w:rPr>
          <w:rFonts w:ascii="Garamond" w:hAnsi="Garamond"/>
          <w:b/>
          <w:bCs/>
          <w:color w:val="1A1A2E"/>
          <w:sz w:val="56"/>
          <w:szCs w:val="56"/>
        </w:rPr>
      </w:r>
      <w:r w:rsidRPr="00F50583">
        <w:rPr>
          <w:rFonts w:ascii="Garamond" w:hAnsi="Garamond" w:cs="Garamond"/>
          <w:b/>
          <w:bCs/>
          <w:color w:val="1A1A2E"/>
          <w:sz w:val="28"/>
          <w:szCs w:val="28"/>
        </w:rPr>
      </w:r>
      <w:r w:rsidRPr="00F50583">
        <w:rPr>
          <w:rFonts w:ascii="Garamond" w:hAnsi="Garamond"/>
          <w:b/>
          <w:bCs/>
          <w:color w:val="1A1A2E"/>
          <w:sz w:val="28"/>
          <w:szCs w:val="28"/>
        </w:rPr>
      </w:r>
      <w:r w:rsidRPr="00F50583">
        <w:rPr>
          <w:rFonts w:ascii="Garamond" w:hAnsi="Garamond" w:cs="Garamond"/>
          <w:b/>
          <w:bCs/>
          <w:color w:val="1A1A2E"/>
          <w:sz w:val="28"/>
          <w:szCs w:val="28"/>
        </w:rPr>
      </w:r>
      <w:r w:rsidRPr="00F50583">
        <w:rPr>
          <w:rFonts w:ascii="Garamond" w:hAnsi="Garamond"/>
          <w:b/>
          <w:bCs/>
          <w:color w:val="1A1A2E"/>
          <w:sz w:val="28"/>
          <w:szCs w:val="28"/>
        </w:rPr>
      </w:r>
      <w:r w:rsidRPr="00F50583">
        <w:rPr>
          <w:rFonts w:ascii="Garamond" w:hAnsi="Garamond" w:cs="Garamond"/>
          <w:b/>
          <w:bCs/>
          <w:color w:val="1A1A2E"/>
          <w:sz w:val="28"/>
          <w:szCs w:val="28"/>
        </w:rPr>
      </w:r>
      <w:r w:rsidRPr="00F50583">
        <w:rPr>
          <w:rFonts w:ascii="Garamond" w:hAnsi="Garamond"/>
          <w:b/>
          <w:bCs/>
          <w:color w:val="1A1A2E"/>
          <w:sz w:val="28"/>
          <w:szCs w:val="28"/>
        </w:rPr>
      </w:r>
      <w:r w:rsidRPr="00F50583">
        <w:rPr>
          <w:sz w:val="28"/>
          <w:szCs w:val="28"/>
        </w:rPr>
      </w:r>
    </w:p>
    <w:p w14:paraId="2ED86905" w14:textId="77777777" w:rsidR="006E716F" w:rsidRDefault="00000000">
      <w:pPr>
        <w:spacing w:before="160" w:after="40" w:line="276" w:lineRule="auto"/>
        <w:ind w:left="680" w:right="283"/>
        <w:rPr>
          <w:rFonts w:ascii="Garamond" w:eastAsia="Arial" w:hAnsi="Garamond" w:cs="Arial"/>
          <w:i/>
          <w:iCs/>
          <w:color w:val="8B0000"/>
          <w:sz w:val="21"/>
        </w:rPr>
        <w:pBdr>
          <w:left w:val="single" w:sz="24" w:space="12" w:color="7B1E1E"/>
        </w:pBdr>
      </w:pPr>
      <w:r>
        <w:rPr>
          <w:rFonts w:ascii="Garamond" w:eastAsia="Arial" w:hAnsi="Garamond" w:cs="Arial"/>
          <w:i/>
          <w:iCs/>
          <w:color w:val="8B0000"/>
          <w:sz w:val="21"/>
        </w:rPr>
        <w:t>« Restons vigilants. »</w:t>
      </w:r>
    </w:p>
    <w:p>
      <w:pPr>
        <w:pStyle w:val="Normal"/>
        <w:spacing w:after="200"/>
        <w:ind w:left="680"/>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spacing w:after="200" w:line="264" w:lineRule="auto"/>
        <w:ind w:left="680"/>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p>
      <w:pPr>
        <w:spacing w:after="80"/>
      </w:pPr>
      <w:r>
        <w:t>La question que pose cette révélation n'est pas seulement nigérienne. Elle est universelle : un président africain élu — Issoufou, présenté comme un démocrate modèle par Paris et Washington — a accepté d'installer sur son territoire une infrastructure militaire étrangère sans en informer son propre parlement, ni ses propres généraux. Il a accepté que son pays finance lui-même le coût de cette occupation. Il a accepté que la puissance étrangère n'ait aucune obligation de protéger les populations du pays qu'elle occupait.</w:t>
      </w:r>
    </w:p>
    <w:p>
      <w:pPr>
        <w:spacing w:after="80"/>
      </w:pPr>
      <w:r>
        <w:t>La base d'Agadez concentre les deux dimensions de l'hypocrisie occidentale au Sahel. Officiellement : un outil de lutte contre le terrorisme. Réellement : une plateforme de surveillance de toute la bande sahélo-saharienne, des flux migratoires vers l'Europe, des mouvements russes et chinois en Afrique centrale et occidentale. La sécurité des populations nigériennes n'était pas l'objectif. Elle était le prétexte. Et quand le CNSP a exigé le départ des forces américaines en 2024, Washington a perdu sa fenêtre stratégique sur tout le Sahel central — une perte de capacité renseignement qui n'a pas d'équivalent dans la présence militaire américaine en Afrique de l'Ouest.</w:t>
      </w:r>
    </w:p>
    <w:p>
      <w:pPr>
        <w:spacing w:before="160" w:after="40"/>
        <w:ind w:left="680"/>
        <w:pBdr>
          <w:left w:val="single" w:sz="24" w:space="12" w:color="7B1E1E"/>
        </w:pBdr>
      </w:pPr>
      <w:r>
        <w:rPr>
          <w:i/>
          <w:sz w:val="21"/>
        </w:rPr>
        <w:t>« Restons vigilants. »</w:t>
      </w:r>
    </w:p>
    <w:p>
      <w:pPr>
        <w:spacing w:before="0" w:after="200"/>
        <w:ind w:left="680"/>
      </w:pPr>
      <w:r>
        <w:rPr>
          <w:i/>
          <w:sz w:val="19"/>
        </w:rPr>
        <w:t>— Général Abdourahamane Tiani, 13 novembre 2025</w:t>
      </w:r>
    </w:p>
    <w:p>
      <w:pPr>
        <w:spacing w:before="160" w:after="40"/>
        <w:ind w:left="680"/>
      </w:pPr>
      <w:r>
        <w:rPr>
          <w:i/>
          <w:sz w:val="21"/>
        </w:rPr>
      </w:r>
    </w:p>
    <w:p>
      <w:pPr>
        <w:spacing w:before="0" w:after="200"/>
        <w:ind w:left="680"/>
      </w:pPr>
      <w:r>
        <w:rPr>
          <w:i/>
          <w:sz w:val="19"/>
        </w:rPr>
      </w:r>
    </w:p>
    <w:p>
      <w:pPr>
        <w:spacing w:before="160" w:after="160"/>
        <w:jc w:val="center"/>
      </w:pPr>
      <w:r>
        <w:rPr>
          <w:color w:val="7B1E1E"/>
        </w:rPr>
        <w:t>★ ★ ★</w:t>
      </w:r>
    </w:p>
    <w:p>
      <w:pPr>
        <w:spacing w:before="160" w:after="160"/>
        <w:jc w:val="center"/>
      </w:pPr>
      <w:r>
        <w:rPr>
          <w:color w:val="7B1E1E"/>
        </w:rPr>
        <w:t>★ ★ ★</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