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fr.jp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before="280" w:after="120"/>
        <w:pBdr>
          <w:bottom w:val="single" w:sz="7" w:space="3" w:color="A07820"/>
        </w:pBdr>
      </w:pPr>
      <w:r>
        <w:rPr>
          <w:rFonts w:ascii="FreeSerif" w:hAnsi="FreeSerif"/>
          <w:b/>
          <w:color w:val="2C3A4A"/>
          <w:sz w:val="22"/>
        </w:rPr>
        <w:t>L'architecture comme preuve : du style soudanien à Lalibela</w:t>
      </w:r>
    </w:p>
    <w:p>
      <w:pPr>
        <w:spacing w:after="60"/>
      </w:pPr>
      <w:r>
        <w:rPr>
          <w:rFonts w:ascii="FreeSerif" w:hAnsi="FreeSerif"/>
          <w:sz w:val="22"/>
        </w:rPr>
        <w:t xml:space="preserve">La grandeur d'une civilisation ne s'écrit pas seulement dans les chroniques ; elle se lit aussi dans ses pierres. L'architecture dite « de type soudanien » — à ne pas confondre avec « soudanais » : le nom vient de l'arabe </w:t>
      </w:r>
      <w:r>
        <w:rPr>
          <w:rFonts w:ascii="FreeSerif" w:hAnsi="FreeSerif"/>
          <w:i/>
          <w:sz w:val="22"/>
        </w:rPr>
        <w:t>as-sudan</w:t>
      </w:r>
      <w:r>
        <w:rPr>
          <w:rFonts w:ascii="FreeSerif" w:hAnsi="FreeSerif"/>
          <w:sz w:val="22"/>
        </w:rPr>
        <w:t>, « les Noirs », terme par lequel les géographes arabes désignaient toute l'Afrique subsaharienne, et dont le Mali colonial, rebaptisé Soudan français, a hérité — couvre un espace qui va de l'actuel Ghana jusqu'au Niger. Ses mosquées et ses palais de sultans, construits en terre crue mêlée de banco et parfois de riz, comptent parmi les plus hautes structures en terre du monde. Que des sociétés africaines aient pu se permettre de mélanger des denrées alimentaires à la construction, par tonnes, dit une chose simple : il y avait là une abondance de nourriture — un fait qui contredit frontalement le récit d'un continent famélique que la colonisation serait venue sauver. Aujourd'hui, des architectes africains formés dans les grandes écoles ne savent plus reproduire ces techniques ; l'ONU distribue du riz à des régions qui, quelques siècles plus tôt, en mélangeaient à leurs murs.</w:t>
      </w:r>
    </w:p>
    <w:p>
      <w:pPr>
        <w:spacing w:after="60"/>
        <w:ind w:firstLine="567"/>
      </w:pPr>
      <w:r>
        <w:rPr>
          <w:rFonts w:ascii="FreeSerif" w:hAnsi="FreeSerif"/>
          <w:sz w:val="22"/>
        </w:rPr>
        <w:t>Plus à l'est, en Éthiopie, l'empereur Lalibela fait tailler à même la roche, au XIIe et XIIIe siècle, onze églises monolithiques reliées par un réseau de tunnels de près de vingt kilomètres — un chantier qui s'étend sur plus d'un siècle et qui figure aujourd'hui au patrimoine mondial de l'humanité. L'Éthiopie a adopté le christianisme cinq cents ans avant la Russie et plus de six siècles avant la France de Clovis — non pas importé dans les bagages d'un colonisateur, comme dans le reste du continent, mais reçu et intégré par une monarchie souveraine. Aucune civilisation n'est figée dans le temps : ni l'Égypte pharaonique, ni la Grèce antique — berceau revendiqué des sciences européennes, aujourd'hui contrainte de quémander des aides à Bruxelles pour payer ses retraites. La splendeur passée d'une civilisation ne garantit rien pour son présent ; mais elle interdit qu'on lui invente un passé vide.</w:t>
      </w:r>
    </w:p>
    <w:p>
      <w:pPr>
        <w:spacing w:before="280" w:after="120"/>
        <w:pBdr>
          <w:bottom w:val="single" w:sz="7" w:space="3" w:color="A07820"/>
        </w:pBdr>
      </w:pPr>
      <w:r>
        <w:rPr>
          <w:rFonts w:ascii="FreeSerif" w:hAnsi="FreeSerif"/>
          <w:b/>
          <w:color w:val="2C3A4A"/>
          <w:sz w:val="22"/>
        </w:rPr>
        <w:t>Le pillage colonial et la question de la restitution</w:t>
      </w:r>
    </w:p>
    <w:p>
      <w:pPr>
        <w:spacing w:after="60"/>
      </w:pPr>
      <w:r>
        <w:rPr>
          <w:rFonts w:ascii="FreeSerif" w:hAnsi="FreeSerif"/>
          <w:sz w:val="22"/>
        </w:rPr>
        <w:t>La preuve la plus tangible de cette grandeur reste ce que l'Europe a jugé bon d'en emporter. En octobre 1935, l'Italie fasciste de Benito Mussolini viole les pactes de non-agression signés avec l'Éthiopie et envahit le pays — Mussolini justifiant l'invasion par le sentiment que l'Italie, jeune puissance coloniale, n'avait reçu que des « miettes » lors du partage de l'Afrique à la conférence de Berlin (novembre 1884 – février 1885). L'empereur Haïlé Sélassié, sur l'insistance du clergé de l'Église orthodoxe éthiopienne — qui craint que sa capture ne décourage les guerriers —, trouve refuge en Angleterre : un choix qui vaudra à l'empereur d'être qualifié par Marcus Garvey de « plus grand traître de la race noire », avant que l'histoire ne révèle qu'il s'agissait d'une stratégie de reconquête. Sur le terrain, la garde impériale éthiopienne continue une résistance dont même le maréchal italien Pietro Badoglio reconnaîtra, dans ses mémoires, qu'« aucune torture ne pourrait leur arracher un aveu ».</w:t>
      </w:r>
    </w:p>
    <w:p>
      <w:pPr>
        <w:spacing w:after="60"/>
        <w:ind w:firstLine="567"/>
      </w:pPr>
      <w:r>
        <w:rPr>
          <w:rFonts w:ascii="FreeSerif" w:hAnsi="FreeSerif"/>
          <w:sz w:val="22"/>
        </w:rPr>
        <w:t>Durant leur occupation, les troupes italiennes emportent l'obélisque d'Axoum, un monolithe de granit vieux de plus de 1 700 ans pesant plusieurs tonnes — la preuve involontaire, par son seul poids, qu'un peuple capable de voler des tonnes de pierre était capable de voler des hommes, ce qui devrait clore le débat sur qui, de l'Europe ou de l'Afrique, portait la traite. L'Éthiopie réclame sa restitution dès sa libération ; l'obélisque ne lui sera rendu qu'en 2005 — soixante-dix ans plus tard —, découpé en trois blocs et acheminé par avion-cargo Antonov avec le concours de l'UNESCO, de la Russie et de l'Union européenne, l'Italie ayant longtemps invoqué l'impossibilité technique du rapatriement. Le Premier ministre éthiopien Meles Zenawi y répondra d'une phrase sans appel : si l'objet a pu être emporté, le même moyen peut le ramener. L'Éthiopie réclame aussi encore, sans succès à ce jour, la restitution de plus d'un million de livres et manuscrits pillés par les troupes britanniques de la reine Victoria lors de l'expédition de Magdala en 1868.</w:t>
      </w:r>
    </w:p>
    <w:p>
      <w:pPr>
        <w:spacing w:after="60"/>
        <w:ind w:firstLine="567"/>
      </w:pPr>
      <w:r>
        <w:rPr>
          <w:rFonts w:ascii="FreeSerif" w:hAnsi="FreeSerif"/>
          <w:sz w:val="22"/>
        </w:rPr>
        <w:t>Le Sahel a connu son propre pillage. Sikasso, capitale du royaume du Kenédougou, était protégée par un rempart de terre fortifié, le Tata de Sikasso, dont il subsiste aujourd'hui des pans entiers ; il fut percé par l'artillerie du général Louis Faidherbe — l'homme qui avait aussi constitué les premiers régiments de tirailleurs sénégalais. Face à la chute inévitable de sa capitale en 1898, le roi Babemba Traoré choisit de se donner la mort plutôt que de se rendre. Un principe traverse ces deux continents pillés : ce que l'Europe a longtemps qualifié de « restitution » n'est jamais qu'un aveu tardif de vol.</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Date</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00" w:after="80"/>
      </w:pPr>
      <w:r>
        <w:rPr>
          <w:rFonts w:ascii="FreeSerif" w:hAnsi="FreeSerif"/>
          <w:b/>
          <w:color w:val="2C3A4A"/>
          <w:sz w:val="20"/>
        </w:rPr>
        <w:t>Le Coran de Samory : la Guinée réclame ses reliques</w:t>
      </w:r>
    </w:p>
    <w:p>
      <w:pPr>
        <w:spacing w:after="60"/>
      </w:pPr>
      <w:r>
        <w:rPr>
          <w:rFonts w:ascii="FreeSerif" w:hAnsi="FreeSerif"/>
          <w:sz w:val="22"/>
        </w:rPr>
        <w:t>Un siècle et demi après Guélémou, la Guinée a engagé une procédure diplomatique officielle pour récupérer les objets personnels de Samory Touré confisqués lors de sa capture — au premier rang desquels son Coran, mais aussi son bonnet, sa tunique de guerre, son chasse-mouche, des manuscrits et des sabres, aujourd'hui conservés dans des musées français, notamment le musée de l'Armée à Paris. Une délégation guinéenne s'est rendue en France en juin pour examiner ces pièces ; Conakry poursuit depuis un travail d'identification et de catalogage des biens guinéens dispersés dans plusieurs villes françaises.</w:t>
      </w:r>
    </w:p>
    <w:p>
      <w:pPr>
        <w:spacing w:after="60"/>
        <w:ind w:firstLine="567"/>
      </w:pPr>
      <w:r>
        <w:rPr>
          <w:rFonts w:ascii="FreeSerif" w:hAnsi="FreeSerif"/>
          <w:sz w:val="22"/>
        </w:rPr>
        <w:t>Ce dossier n'est pas isolé. Selon les estimations disponibles, la France conserve entre 90 000 et 150 000 œuvres africaines — une masse qui s'explique presque entièrement par la période coloniale : trophées de guerre saisis lors des conquêtes militaires, objets pillés, pièces collectées par des administrateurs, des missionnaires ou des « scientifiques » de l'époque, avant d'intégrer des collections publiques comme celles du musée du Quai Branly. Des trésors royaux et des objets sacrés ont été envoyés en France précisément pour donner la preuve matérielle de la puissance coloniale — le Coran de Samory n'est pas un objet de piété conservé par erreur, c'est un butin de guerre exposé comme un trophée. Sa rétention prive, aujourd'hui encore, un pays entier d'une partie de son patrimoine spirituel et politique.</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Les « nouveaux empires » : la privatisation comme deuxième colonisation</w:t>
      </w:r>
    </w:p>
    <w:p>
      <w:pPr>
        <w:spacing w:after="60"/>
      </w:pPr>
      <w:r>
        <w:rPr>
          <w:rFonts w:ascii="FreeSerif" w:hAnsi="FreeSerif"/>
          <w:sz w:val="22"/>
        </w:rPr>
        <w:t xml:space="preserve">Le pacte ne s'est pas arrêté aux indépendances, ni même à la génération Foccart. Il a changé de forme dans les années 1990, au moment précis où, d'après le rapport 2025 de l'association Survie </w:t>
      </w:r>
      <w:r>
        <w:rPr>
          <w:rFonts w:ascii="FreeSerif" w:hAnsi="FreeSerif"/>
          <w:i/>
          <w:sz w:val="22"/>
        </w:rPr>
        <w:t>Que reste-t-il des intérêts économiques de la France en Afrique ?</w:t>
      </w:r>
      <w:r>
        <w:rPr>
          <w:rFonts w:ascii="FreeSerif" w:hAnsi="FreeSerif"/>
          <w:sz w:val="22"/>
        </w:rPr>
        <w:t>, les grands groupes hexagonaux — Accor, Axa, L'Oréal, Peugeot, Renault, Saint-Gobain — désertaient massivement le continent pour se ruer vers l'Asie et les Amériques, jugées plus rentables. L'Afrique, marginalisée par la mondialisation du capitalisme français, devient alors le terrain de chasse d'un second cercle d'entreprises, moins connues du grand public mais tout aussi structurantes : ce sont les « nouveaux empires » de la Françafrique, bâtis non plus sur l'extraction brute mais sur les privatisations imposées par les plans d'ajustement structurel.</w:t>
      </w:r>
    </w:p>
    <w:p>
      <w:pPr>
        <w:spacing w:after="60"/>
        <w:ind w:firstLine="567"/>
      </w:pPr>
      <w:r>
        <w:rPr>
          <w:rFonts w:ascii="FreeSerif" w:hAnsi="FreeSerif"/>
          <w:sz w:val="22"/>
        </w:rPr>
        <w:t xml:space="preserve">Le mécanisme est documenté entreprise par entreprise. </w:t>
      </w:r>
      <w:r>
        <w:rPr>
          <w:rFonts w:ascii="FreeSerif" w:hAnsi="FreeSerif"/>
          <w:b/>
          <w:sz w:val="22"/>
        </w:rPr>
        <w:t>Bolloré</w:t>
      </w:r>
      <w:r>
        <w:rPr>
          <w:rFonts w:ascii="FreeSerif" w:hAnsi="FreeSerif"/>
          <w:sz w:val="22"/>
        </w:rPr>
        <w:t xml:space="preserve"> se construit en quelques années un empire du tabac — plantations, production, commercialisation —, revendu en 2001 au britannique Imperial Tobacco, avant de basculer vers la logistique et le rail : concessions des lignes Abidjan-Ouagadougou en 1995, Douala-Ngaoundéré au Cameroun en 1999, Cotonou-Parakou au Bénin en 2015, et surtout un quasi-monopole sur les concessions portuaires du golfe de Guinée — le poumon par lequel transite le commerce extérieur de plusieurs États. </w:t>
      </w:r>
      <w:r>
        <w:rPr>
          <w:rFonts w:ascii="FreeSerif" w:hAnsi="FreeSerif"/>
          <w:b/>
          <w:sz w:val="22"/>
        </w:rPr>
        <w:t>Castel</w:t>
      </w:r>
      <w:r>
        <w:rPr>
          <w:rFonts w:ascii="FreeSerif" w:hAnsi="FreeSerif"/>
          <w:sz w:val="22"/>
        </w:rPr>
        <w:t xml:space="preserve">, en rachetant la société des Brasseries et glacières internationales (BGI), met la main sur la production de bière angolaise et sur les Brasseries Saint-Georges en Éthiopie. </w:t>
      </w:r>
      <w:r>
        <w:rPr>
          <w:rFonts w:ascii="FreeSerif" w:hAnsi="FreeSerif"/>
          <w:b/>
          <w:sz w:val="22"/>
        </w:rPr>
        <w:t>Saur</w:t>
      </w:r>
      <w:r>
        <w:rPr>
          <w:rFonts w:ascii="FreeSerif" w:hAnsi="FreeSerif"/>
          <w:sz w:val="22"/>
        </w:rPr>
        <w:t>, alors filiale de Bouygues, s'empare dès la fin des années 1980 de l'électricité et de l'eau ivoiriennes, puis de la distribution d'eau en Centrafrique (1991), au Sénégal (1996), et de l'eau et de l'électricité au Mali (2000). Sa concurrente, la Compagnie générale des eaux — devenue Vivendi en 1998 — rafle les concessions du Gabon, du Tchad, des Comores et du Niger.</w:t>
      </w:r>
    </w:p>
    <w:p>
      <w:pPr>
        <w:spacing w:after="60"/>
        <w:ind w:firstLine="567"/>
      </w:pPr>
      <w:r>
        <w:rPr>
          <w:rFonts w:ascii="FreeSerif" w:hAnsi="FreeSerif"/>
          <w:sz w:val="22"/>
        </w:rPr>
        <w:t xml:space="preserve">Le cas le plus spectaculaire reste celui des télécommunications. </w:t>
      </w:r>
      <w:r>
        <w:rPr>
          <w:rFonts w:ascii="FreeSerif" w:hAnsi="FreeSerif"/>
          <w:b/>
          <w:sz w:val="22"/>
        </w:rPr>
        <w:t>France Télécom</w:t>
      </w:r>
      <w:r>
        <w:rPr>
          <w:rFonts w:ascii="FreeSerif" w:hAnsi="FreeSerif"/>
          <w:sz w:val="22"/>
        </w:rPr>
        <w:t xml:space="preserve">, fragilisé par la concurrence sur ses marchés européens, fait de l'Afrique un relais de croissance vital : en janvier 1997, elle prend le contrôle de l'opérateur ivoirien, puis entre au capital de la Sonatel sénégalaise, rachète les opérateurs mauricien et centrafricain, s'implante au Cameroun, au Niger, à Madagascar, en Guinée, en Guinée-Bissau, au Mali — puis part à la conquête des marchés anglophones, au Botswana, au Kenya, en Ouganda, en Sierra Leone. En une dizaine d'années, sous sa nouvelle marque </w:t>
      </w:r>
      <w:r>
        <w:rPr>
          <w:rFonts w:ascii="FreeSerif" w:hAnsi="FreeSerif"/>
          <w:b/>
          <w:sz w:val="22"/>
        </w:rPr>
        <w:t>Orange</w:t>
      </w:r>
      <w:r>
        <w:rPr>
          <w:rFonts w:ascii="FreeSerif" w:hAnsi="FreeSerif"/>
          <w:sz w:val="22"/>
        </w:rPr>
        <w:t>, le groupe plante son drapeau dans quinze pays africains et devient le second opérateur du continent. Ce ne sont pas des rachats isolés : c'est une reconquête méthodique, secteur par secteur, utilisant les anciennes colonies francophones comme base arrière avant l'incursion en terrain anglophone ou lusophone.</w:t>
      </w:r>
    </w:p>
    <w:p>
      <w:pPr>
        <w:spacing w:after="60"/>
        <w:ind w:firstLine="567"/>
      </w:pPr>
      <w:r>
        <w:rPr>
          <w:rFonts w:ascii="FreeSerif" w:hAnsi="FreeSerif"/>
          <w:sz w:val="22"/>
        </w:rPr>
        <w:t>Ce que ce second cercle d'entreprises révèle, c'est la continuité du pacte sous une forme actualisée : là où Foccart imposait des monopoles par décret officieux, les années 1990 les ont obtenus par la vague de privatisations — un habillage juridique et « libéral » pour la même finalité. Les infrastructures vitales du quotidien africain — eau, électricité, téléphonie, tabac, transport — passent des mains de l'État colonial aux mains d'entreprises privées françaises, sans jamais repasser par celles des peuples concernés.</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Étape</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Élément</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 xml:space="preserve">En 2025, l'association Survie publie </w:t>
      </w:r>
      <w:r>
        <w:rPr>
          <w:rFonts w:ascii="FreeSerif" w:hAnsi="FreeSerif"/>
          <w:i/>
          <w:sz w:val="22"/>
        </w:rPr>
        <w:t>Que reste-t-il des intérêts économiques de la France en Afrique ?</w:t>
      </w:r>
      <w:r>
        <w:rPr>
          <w:rFonts w:ascii="FreeSerif" w:hAnsi="FreeSerif"/>
          <w:sz w:val="22"/>
        </w:rPr>
        <w:t xml:space="preserve"> — un rapport qui ne vient pas du camp panafricaniste mais d'une ONG française croisant les statistiques officielles du commerce extérieur, d'Eurostat et de la Banque de France. Ce n'est donc pas une thèse militante : ce sont des chiffres d'État. Et ces chiffres confirment, par une autre voie, l'architecture de captivité décrite dans ce chapitre.</w:t>
      </w:r>
    </w:p>
    <w:p>
      <w:pPr>
        <w:spacing w:after="60"/>
        <w:ind w:firstLine="567"/>
      </w:pPr>
      <w:r>
        <w:rPr>
          <w:rFonts w:ascii="FreeSerif" w:hAnsi="FreeSerif"/>
          <w:sz w:val="22"/>
        </w:rPr>
        <w:t xml:space="preserve">Le rapport documente d'abord l'ampleur de l'effondrement commercial français en Afrique subsaharienne : la part de marché française y est passée de </w:t>
      </w:r>
      <w:r>
        <w:rPr>
          <w:rFonts w:ascii="FreeSerif" w:hAnsi="FreeSerif"/>
          <w:b/>
          <w:sz w:val="22"/>
        </w:rPr>
        <w:t>15 % à la fin des années 1970 à 3 % aujourd'hui</w:t>
      </w:r>
      <w:r>
        <w:rPr>
          <w:rFonts w:ascii="FreeSerif" w:hAnsi="FreeSerif"/>
          <w:sz w:val="22"/>
        </w:rPr>
        <w:t xml:space="preserve"> — divisée par cinq. Mais ce recul global masque une réalité à deux vitesses que Survie met en évidence noir sur blanc : dans les anciennes colonies utilisant le franc CFA, la part de marché française </w:t>
      </w:r>
      <w:r>
        <w:rPr>
          <w:rFonts w:ascii="FreeSerif" w:hAnsi="FreeSerif"/>
          <w:b/>
          <w:sz w:val="22"/>
        </w:rPr>
        <w:t>se stabilise depuis le milieu des années 2010 entre 10 et 12 %</w:t>
      </w:r>
      <w:r>
        <w:rPr>
          <w:rFonts w:ascii="FreeSerif" w:hAnsi="FreeSerif"/>
          <w:sz w:val="22"/>
        </w:rPr>
        <w:t xml:space="preserve"> — près de six fois supérieure à ce qu'elle est dans le reste du continent, et quatre fois plus élevée que dans le reste du monde. Le pré carré CFA reste, à cette date, le seul endroit du globe où la France conserve une position dominante — c'est-à-dire précisément le seul endroit où la monnaie n'est pas la sienne, mais où elle continue d'en fixer les règles.</w:t>
      </w:r>
    </w:p>
    <w:p>
      <w:pPr>
        <w:spacing w:after="60"/>
        <w:ind w:firstLine="567"/>
      </w:pPr>
      <w:r>
        <w:rPr>
          <w:rFonts w:ascii="FreeSerif" w:hAnsi="FreeSerif"/>
          <w:sz w:val="22"/>
        </w:rPr>
        <w:t xml:space="preserve">Le rapport interroge lui-même la fonction du franc CFA dans cette résilience, dans un encadré intitulé « Le franc CFA au service des intérêts hexagonaux ? ». Sa conclusion est prudente sur le plan strictement statistique — faute de données publiques sur la rentabilité des investissements français par pays, Survie ne peut pas démontrer que les entreprises hexagonales sont plus rentables en zone CFA qu'ailleurs sur le continent. Mais le rapport documente ce qui compte davantage que la rentabilité comptable : le </w:t>
      </w:r>
      <w:r>
        <w:rPr>
          <w:rFonts w:ascii="FreeSerif" w:hAnsi="FreeSerif"/>
          <w:b/>
          <w:sz w:val="22"/>
        </w:rPr>
        <w:t>mécanisme</w:t>
      </w:r>
      <w:r>
        <w:rPr>
          <w:rFonts w:ascii="FreeSerif" w:hAnsi="FreeSerif"/>
          <w:sz w:val="22"/>
        </w:rPr>
        <w:t>. Le taux de change fixe, la libre convertibilité euro-CFA et la liberté de transfert des capitaux réduisent les coûts de transaction, garantissent la valeur des actifs français détenus sur place et suppriment le risque de change — donc son coût de couverture. Un franc CFA structurellement surévalué, comme c'est le cas aujourd'hui, fonctionne comme une subvention aux exportations européennes dans la zone, au prix de la compétitivité des producteurs locaux, africains comme étrangers, qui doivent vendre plus cher que leurs concurrents en devises non arrimées. Ce n'est pas une théorie du complot : c'est la définition même d'un taux de change fixé de l'extérieur au bénéfice de celui qui l'a fixé.</w:t>
      </w:r>
    </w:p>
    <w:p>
      <w:pPr>
        <w:spacing w:after="60"/>
        <w:ind w:firstLine="567"/>
      </w:pPr>
      <w:r>
        <w:rPr>
          <w:rFonts w:ascii="FreeSerif" w:hAnsi="FreeSerif"/>
          <w:sz w:val="22"/>
        </w:rPr>
        <w:t xml:space="preserve">Le rapport ajoute une pièce que la presse française ne relaie jamais : au-delà des flux commerciaux, ce sont </w:t>
      </w:r>
      <w:r>
        <w:rPr>
          <w:rFonts w:ascii="FreeSerif" w:hAnsi="FreeSerif"/>
          <w:b/>
          <w:sz w:val="22"/>
        </w:rPr>
        <w:t>2 421 filiales d'entreprises françaises</w:t>
      </w:r>
      <w:r>
        <w:rPr>
          <w:rFonts w:ascii="FreeSerif" w:hAnsi="FreeSerif"/>
          <w:sz w:val="22"/>
        </w:rPr>
        <w:t xml:space="preserve"> implantées en Afrique subsaharienne, générant en moyenne </w:t>
      </w:r>
      <w:r>
        <w:rPr>
          <w:rFonts w:ascii="FreeSerif" w:hAnsi="FreeSerif"/>
          <w:b/>
          <w:sz w:val="22"/>
        </w:rPr>
        <w:t>41,2 milliards d'euros de chiffre d'affaires par an</w:t>
      </w:r>
      <w:r>
        <w:rPr>
          <w:rFonts w:ascii="FreeSerif" w:hAnsi="FreeSerif"/>
          <w:sz w:val="22"/>
        </w:rPr>
        <w:t xml:space="preserve"> — près de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 c'est-à-dire dans la zone franc et ses abords immédiats. Le franc CFA n'a donc pas seulement pour fonction de fixer un taux de change : il crée un climat de sécurité juridique et financière qui retient sur place un tissu de filiales que même les statistiques du commerce extérieur, à elles seules, ne permettent pas de voir. C'est la démonstration, produite par une source française elle-même hostile au système qu'elle décrit, que la boucle fermée analysée plus haut dans ce chapitre n'est pas une paranoïa panafricaniste : c'est une architecture documentée, chiffrée, et années après années reconduite.</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 xml:space="preserve">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 ; Survie, </w:t>
      </w:r>
      <w:r>
        <w:rPr>
          <w:rFonts w:ascii="FreeSerif" w:hAnsi="FreeSerif"/>
          <w:sz w:val="22"/>
        </w:rPr>
        <w:t>Que reste-t-il des intérêts économiques de la France en Afrique ?</w:t>
      </w:r>
      <w:r>
        <w:rPr>
          <w:rFonts w:ascii="FreeSerif" w:hAnsi="FreeSerif"/>
          <w:i/>
          <w:sz w:val="22"/>
        </w:rPr>
        <w:t>, 2025 (parts de marché françaises en zone CFA, filiales et chiffre d'affaires, mécanisme du franc CFA).</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Indicateur</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20 %</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0,80 €/kg</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200 $/kg</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Ce que la diversification française révèle — et ne révèle pas</w:t>
      </w:r>
    </w:p>
    <w:p>
      <w:pPr>
        <w:spacing w:after="60"/>
      </w:pPr>
      <w:r>
        <w:rPr>
          <w:rFonts w:ascii="FreeSerif" w:hAnsi="FreeSerif"/>
          <w:sz w:val="22"/>
        </w:rPr>
        <w:t xml:space="preserve">Le rapport 2025 de l'association Survie, </w:t>
      </w:r>
      <w:r>
        <w:rPr>
          <w:rFonts w:ascii="FreeSerif" w:hAnsi="FreeSerif"/>
          <w:i/>
          <w:sz w:val="22"/>
        </w:rPr>
        <w:t>Que reste-t-il des intérêts économiques de la France en Afrique ?</w:t>
      </w:r>
      <w:r>
        <w:rPr>
          <w:rFonts w:ascii="FreeSerif" w:hAnsi="FreeSerif"/>
          <w:sz w:val="22"/>
        </w:rPr>
        <w:t xml:space="preserve">, apporte sur le dossier uranium une pièce que les défenseurs d'Orano brandissent volontiers, mais qu'il faut lire jusqu'au bout pour en comprendre le sens réel. Depuis la fermeture de la dernière mine hexagonale en 2001, </w:t>
      </w:r>
      <w:r>
        <w:rPr>
          <w:rFonts w:ascii="FreeSerif" w:hAnsi="FreeSerif"/>
          <w:b/>
          <w:sz w:val="22"/>
        </w:rPr>
        <w:t>la totalité de l'uranium naturel nécessaire aux centrales nucléaires françaises — environ 8 000 tonnes par an — est importée.</w:t>
      </w:r>
      <w:r>
        <w:rPr>
          <w:rFonts w:ascii="FreeSerif" w:hAnsi="FreeSerif"/>
          <w:sz w:val="22"/>
        </w:rPr>
        <w:t xml:space="preserve"> Son origine exacte reste, note le rapport lui-même, « un secret bien gardé » : avant de devenir combustible, l'uranium transite par des usines de conversion et d'enrichissement qui ne sont pas nécessairement situées en France, si bien que l'uranium canadien, converti ailleurs, n'apparaît pas dans les statistiques d'importation françaises tout en alimentant pourtant les réacteurs d'EDF.</w:t>
      </w:r>
    </w:p>
    <w:p>
      <w:pPr>
        <w:spacing w:after="60"/>
        <w:ind w:firstLine="567"/>
      </w:pPr>
      <w:r>
        <w:rPr>
          <w:rFonts w:ascii="FreeSerif" w:hAnsi="FreeSerif"/>
          <w:sz w:val="22"/>
        </w:rPr>
        <w:t xml:space="preserve">Depuis 2004, EDF a engagé une politique de diversification de ses fournisseurs à chaque étape du cycle du combustible. Le Canadien Cameco et l'Anglo-Australien BHP Billiton figurent aujourd'hui en bonne place parmi ses fournisseurs, et Orano ne couvre plus qu'environ </w:t>
      </w:r>
      <w:r>
        <w:rPr>
          <w:rFonts w:ascii="FreeSerif" w:hAnsi="FreeSerif"/>
          <w:b/>
          <w:sz w:val="22"/>
        </w:rPr>
        <w:t>40 % du total des approvisionnements français</w:t>
      </w:r>
      <w:r>
        <w:rPr>
          <w:rFonts w:ascii="FreeSerif" w:hAnsi="FreeSerif"/>
          <w:sz w:val="22"/>
        </w:rPr>
        <w:t xml:space="preserve"> — la part précise du Niger dans le mix final d'EDF n'étant, faute de publication officielle, plus mesurable avec certitude. Sur la période 2008-2012, dernières données consolidées disponibles, le Niger assurait néanmoins </w:t>
      </w:r>
      <w:r>
        <w:rPr>
          <w:rFonts w:ascii="FreeSerif" w:hAnsi="FreeSerif"/>
          <w:b/>
          <w:sz w:val="22"/>
        </w:rPr>
        <w:t>22,6 % de l'uranium naturel utilisé dans les centrales françaises</w:t>
      </w:r>
      <w:r>
        <w:rPr>
          <w:rFonts w:ascii="FreeSerif" w:hAnsi="FreeSerif"/>
          <w:sz w:val="22"/>
        </w:rPr>
        <w:t>, derrière le Kazakhstan (27,6 %) mais devant le Canada (21,8 %) et l'Australie (16,1 %).</w:t>
      </w:r>
    </w:p>
    <w:p>
      <w:pPr>
        <w:spacing w:after="60"/>
        <w:ind w:firstLine="567"/>
      </w:pPr>
      <w:r>
        <w:rPr>
          <w:rFonts w:ascii="FreeSerif" w:hAnsi="FreeSerif"/>
          <w:sz w:val="22"/>
        </w:rPr>
        <w:t>Cette diversification, présentée à Paris comme la preuve que le Niger n'était « pas stratégique », change en réalité la question plus qu'elle n'y répond. Elle réduit la dépendance de l'</w:t>
      </w:r>
      <w:r>
        <w:rPr>
          <w:rFonts w:ascii="FreeSerif" w:hAnsi="FreeSerif"/>
          <w:b/>
          <w:sz w:val="22"/>
        </w:rPr>
        <w:t>consommateur final</w:t>
      </w:r>
      <w:r>
        <w:rPr>
          <w:rFonts w:ascii="FreeSerif" w:hAnsi="FreeSerif"/>
          <w:sz w:val="22"/>
        </w:rPr>
        <w:t xml:space="preserve"> — EDF — sans réduire celle de l'</w:t>
      </w:r>
      <w:r>
        <w:rPr>
          <w:rFonts w:ascii="FreeSerif" w:hAnsi="FreeSerif"/>
          <w:b/>
          <w:sz w:val="22"/>
        </w:rPr>
        <w:t>extracteur</w:t>
      </w:r>
      <w:r>
        <w:rPr>
          <w:rFonts w:ascii="FreeSerif" w:hAnsi="FreeSerif"/>
          <w:sz w:val="22"/>
        </w:rPr>
        <w:t xml:space="preserve"> : en 2020-2022, dernière période documentée par le rapport, Orano dépendait toujours du Niger pour </w:t>
      </w:r>
      <w:r>
        <w:rPr>
          <w:rFonts w:ascii="FreeSerif" w:hAnsi="FreeSerif"/>
          <w:b/>
          <w:sz w:val="22"/>
        </w:rPr>
        <w:t>un tiers de ses approvisionnements mondiaux</w:t>
      </w:r>
      <w:r>
        <w:rPr>
          <w:rFonts w:ascii="FreeSerif" w:hAnsi="FreeSerif"/>
          <w:sz w:val="22"/>
        </w:rPr>
        <w:t>, ses tentatives de diversification en Mongolie et en Ouzbékistan peinant à se concrétiser. Autrement dit, la France a pu se targuer, la main sur le cœur, de ne plus dépendre du Niger — pendant qu'Orano, elle, en dépendait toujours pour un tiers de son activité, et donc pour une part considérable de ses profits. Ce sont deux dépendances différentes, et la France n'a communiqué que sur celle qui l'arrangeait.</w:t>
      </w: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 xml:space="preserve">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 ; Survie, </w:t>
      </w:r>
      <w:r>
        <w:rPr>
          <w:rFonts w:ascii="FreeSerif" w:hAnsi="FreeSerif"/>
          <w:sz w:val="22"/>
        </w:rPr>
        <w:t>Que reste-t-il des intérêts économiques de la France en Afrique ?</w:t>
      </w:r>
      <w:r>
        <w:rPr>
          <w:rFonts w:ascii="FreeSerif" w:hAnsi="FreeSerif"/>
          <w:i/>
          <w:sz w:val="22"/>
        </w:rPr>
        <w:t>, 2025 (diversification des fournisseurs d'EDF, dépendance d'Orano au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Niveau</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Terme officiel</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Indicateur</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Projet</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Ce qui s'est déversé vers le Sahel</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w:t>
      </w:r>
    </w:p>
    <w:p>
      <w:pPr>
        <w:spacing w:after="60"/>
        <w:ind w:firstLine="567"/>
      </w:pPr>
      <w:r>
        <w:rPr>
          <w:rFonts w:ascii="FreeSerif" w:hAnsi="FreeSerif"/>
          <w:sz w:val="22"/>
        </w:rPr>
        <w:t>La séquence se joue en deux temps, et le premier est révélateur. Le 6 avril 2012 — quinze jours seulement après le coup d'État militaire contre le président Amadou Toumani Touré, et avant même toute alliance avec les groupes islamistes —, le porte-parole du MNLA, Mossa Ag Attaher, proclame en direct sur le plateau de France 24 « l'indépendance de l'État de l'Azawad », affirmant contrôler alors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 le MNLA s'en dit solidaire tout en admettant, par la voix de son porte-parole, que « la menace terroriste existe partout ». Un mouvement qui proclame un État ne contrôle pas son propre consulat voisin. C'est seulement quelques semaines plus tard, en mai 2012, que le MNLA s'allie avec Ansar al-Din — l'organisation islamiste qui va rapidement le supplanter militairement —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y donne lecture publique d'une déclaration des deux mouvements demandant que « les forces de défense et de sécurité du Mali s'engagent à cesser toute forme d'hostilité militaire contre les populations civiles » — les deux groupes réitérant, par la même occasion, leur disponibilité pour un dialogue politique. Un gouvernement médiateur africain donnant lecture, depuis sa propre tribune officielle, des exigences d'un mouvement armé et d'une organisation islamiste envers l'armée d'un État voisin et souverain : la scène, aussi factuelle soit-elle, mesure le degré de légitimité que la diplomatie régionale — sous influence française assumée, Compaoré étant alors l'un des piliers les plus fidèles de la Françafrique (voir chapitre 6) — était prête à accorder à des groupes qui allaient, quelques mois plus tard, être visés par un mandat d'arrêt international. Le 8 février 2013 en effet, le procureur général malien saisit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 celle d'un « complot terroriste » délibérément orchestré depuis l'Élysée et le Quai d'Orsay, engageant la responsabilité pénale directe de plusieurs présidents français successifs. Cette thèse doit être clairement distinguée du fait qui la nourrit : que Paris ait, comme ce livre le documente par ailleurs (chapitres 11, 13, 15, 20),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Le lecteur doit pouvoir distinguer les deux : la mansuétude diplomatique documentée à Ouagadougou est un fait ; le « Nuremberg judiciaire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 statut à traiter avec prudence méthodologique : il s'agit d'une source unique, non recoupée de manière indépendante, et il faut le lire comme ce qu'il est, la parole d'un chef jihadiste justifiant ses choix, pas un fait établi. Mais sa valeur documentaire tient précisément à ce qu'il révèle du raisonnement interne de la Katiba Macina — un raisonnement qui recoupe, par un chemin inattendu, l'analyse que ce livre porte lui-même sur le MNLA au chapitre 16.</w:t>
      </w:r>
    </w:p>
    <w:p>
      <w:pPr>
        <w:spacing w:after="60"/>
        <w:ind w:firstLine="567"/>
      </w:pPr>
      <w:r>
        <w:rPr>
          <w:rFonts w:ascii="FreeSerif" w:hAnsi="FreeSerif"/>
          <w:sz w:val="22"/>
        </w:rPr>
        <w:t xml:space="preserve">Selon ce document, un rapprochement tactique avec le MNLA avait été envisagé à un moment donné, puis abandonné — il n'a jamais été concrétisé. La justification prêtée à Koufa est sans ambiguïté : le MNLA y est présenté comme un </w:t>
      </w:r>
      <w:r>
        <w:rPr>
          <w:rFonts w:ascii="FreeSerif" w:hAnsi="FreeSerif"/>
          <w:b/>
          <w:sz w:val="22"/>
        </w:rPr>
        <w:t>instrument de la France et des pays de l'OTAN</w:t>
      </w:r>
      <w:r>
        <w:rPr>
          <w:rFonts w:ascii="FreeSerif" w:hAnsi="FreeSerif"/>
          <w:sz w:val="22"/>
        </w:rPr>
        <w:t xml:space="preserve">, sur le modèle de ce qui s'est produit en Libye — la destruction de l'État libyen étant citée comme précédent probant. La crainte formulée est que ces « rebelles » touareg soient in fine mobilisés pour combattre le gouvernement malien lui-même, au service d'un objectif que le texte désigne comme la </w:t>
      </w:r>
      <w:r>
        <w:rPr>
          <w:rFonts w:ascii="FreeSerif" w:hAnsi="FreeSerif"/>
          <w:b/>
          <w:sz w:val="22"/>
        </w:rPr>
        <w:t>destruction de l'islam au Mali</w:t>
      </w:r>
      <w:r>
        <w:rPr>
          <w:rFonts w:ascii="FreeSerif" w:hAnsi="FreeSerif"/>
          <w:sz w:val="22"/>
        </w:rPr>
        <w:t>,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 pour des raisons entièrement différentes —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Réalité des corridors transsahariens</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analyse panafricaniste militante sur le « complot terroriste » franco-malien, tribune audio, 2026 (source engagée, thèse distinguée des faits établis dans le corps du texte).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Indicateur</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La confusion volontaire : quand un peuple devient un synonyme de « terroriste »</w:t>
      </w:r>
    </w:p>
    <w:p>
      <w:pPr>
        <w:spacing w:after="60"/>
      </w:pPr>
      <w:r>
        <w:rPr>
          <w:rFonts w:ascii="FreeSerif" w:hAnsi="FreeSerif"/>
          <w:sz w:val="22"/>
        </w:rPr>
        <w:t xml:space="preserve">Le journaliste malien Abdoul Niang, sur un plateau de la RTB, a mis un nom sur un procédé que la presse française pratique depuis des années sans jamais le nommer. Il cite deux titres de </w:t>
      </w:r>
      <w:r>
        <w:rPr>
          <w:rFonts w:ascii="FreeSerif" w:hAnsi="FreeSerif"/>
          <w:i/>
          <w:sz w:val="22"/>
        </w:rPr>
        <w:t>Jeune Afrique</w:t>
      </w:r>
      <w:r>
        <w:rPr>
          <w:rFonts w:ascii="FreeSerif" w:hAnsi="FreeSerif"/>
          <w:sz w:val="22"/>
        </w:rPr>
        <w:t xml:space="preserve"> : « Au Burkina Faso, le train de l'enfer a démarré pour les Peuls » et « Les Peuls face aux jentes au Sahel : enquête sur un peuple sacrifié ». Sa lecture est chirurgicale : « La logique voudrait, ou la dignité voudrait tout simplement qu'on dise "Les terroristes face aux militaires du Sahel". Mais on a préféré prendre une communauté à la place du mot "terroriste", et les armées sont présentées comme illégitimes. » Le procédé est celui de la substitution : là où il faudrait écrire « groupe armé » ou « terroriste », le titre écrit « Peuls » — et l'armée nationale, en face, devient l'agresseur d'un peuple entier plutôt que l'adversaire d'une poignée de combattants.</w:t>
      </w:r>
    </w:p>
    <w:p>
      <w:pPr>
        <w:spacing w:after="60"/>
        <w:ind w:firstLine="567"/>
      </w:pPr>
      <w:r>
        <w:rPr>
          <w:rFonts w:ascii="FreeSerif" w:hAnsi="FreeSerif"/>
          <w:sz w:val="22"/>
        </w:rPr>
        <w:t xml:space="preserve">Niang refuse d'y voir une maladresse éditoriale : « Confondre une communauté avec les terroristes pour polariser la société, [c'est] dé-exacerber les fractures sociales. » Le JNIM recrute précisément sur ce terreau — Iyad Ag Ghali s'exprime en peul et en arabe pour s'identifier à la communauté qu'il prétend défendre, et le récit médiatique occidental, en présentant les jihadistes comme les protecteurs d'un peuple martyrisé par sa propre armée, fait le travail de recrutement à sa place. Niang cite l'exemple de Solenzo, où l'armée burkinabè a libéré des otages utilisés par les jihadistes comme boucliers humains — « de la chair à canon », dit-il — pendant que Wassim Nasr, qu'il qualifie de « propagandiste en chef des terroristes », en donnait une lecture inversée sur les plateaux occidentaux. Plus grave encore selon Niang : la propagande jihadiste a présenté les militaires maliens, dans certains récits amplifiés par </w:t>
      </w:r>
      <w:r>
        <w:rPr>
          <w:rFonts w:ascii="FreeSerif" w:hAnsi="FreeSerif"/>
          <w:i/>
          <w:sz w:val="22"/>
        </w:rPr>
        <w:t>Jeune Afrique</w:t>
      </w:r>
      <w:r>
        <w:rPr>
          <w:rFonts w:ascii="FreeSerif" w:hAnsi="FreeSerif"/>
          <w:sz w:val="22"/>
        </w:rPr>
        <w:t xml:space="preserve"> et France 24, comme des « cannibales qui mangent la chair » de membres de cette communauté — une accusation sans fondement dont l'effet est de pousser les Peuls eux-mêmes à détester leur propre armée et leurs propres autorités, nourrissant un désir de vengeance que le JNIM sait exploiter.</w:t>
      </w:r>
    </w:p>
    <w:p>
      <w:pPr>
        <w:spacing w:after="60"/>
        <w:ind w:firstLine="567"/>
      </w:pPr>
      <w:r>
        <w:rPr>
          <w:rFonts w:ascii="FreeSerif" w:hAnsi="FreeSerif"/>
          <w:sz w:val="22"/>
        </w:rPr>
        <w:t xml:space="preserve">Niang mobilise une image simple pour décrire le mécanisme : « Quand on veut abattre son chien, on l'accuse de rage. » Attribuer à un adversaire des caractéristiques qui ne sont pas objectives, mais politiquement construites, pour rendre acceptable l'usage de moyens exceptionnels contre lui — c'est ce que les </w:t>
      </w:r>
      <w:r>
        <w:rPr>
          <w:rFonts w:ascii="FreeSerif" w:hAnsi="FreeSerif"/>
          <w:i/>
          <w:sz w:val="22"/>
        </w:rPr>
        <w:t>Critical Security Studies</w:t>
      </w:r>
      <w:r>
        <w:rPr>
          <w:rFonts w:ascii="FreeSerif" w:hAnsi="FreeSerif"/>
          <w:sz w:val="22"/>
        </w:rPr>
        <w:t xml:space="preserve"> nomment la </w:t>
      </w:r>
      <w:r>
        <w:rPr>
          <w:rFonts w:ascii="FreeSerif" w:hAnsi="FreeSerif"/>
          <w:b/>
          <w:sz w:val="22"/>
        </w:rPr>
        <w:t>théorie de la sécurisation</w:t>
      </w:r>
      <w:r>
        <w:rPr>
          <w:rFonts w:ascii="FreeSerif" w:hAnsi="FreeSerif"/>
          <w:sz w:val="22"/>
        </w:rPr>
        <w:t>. Niang la replace dans une généalogie plus large : les armes chimiques introuvables de Saddam Hussein relevaient de la même mécanique, reconnue depuis comme une erreur majeure de la conscience occidentale elle-même. Le Sahel, dit-il, revit le même scénario.</w:t>
      </w:r>
    </w:p>
    <w:p>
      <w:pPr>
        <w:spacing w:after="60"/>
        <w:ind w:firstLine="567"/>
      </w:pPr>
      <w:r>
        <w:rPr>
          <w:rFonts w:ascii="FreeSerif" w:hAnsi="FreeSerif"/>
          <w:sz w:val="22"/>
        </w:rPr>
        <w:t>Sa conclusion dépasse le seul cas peul : « L'information n'a pas seulement une fonction didactique. [Elle] est aussi utilisée comme une arme stratégique qui a une valeur ajoutée au même titre que les équipements militaires. » Et il date le basculement des récits médiatiques occidentaux sur le Sahel : une étude du Bureau d'Analyses Stratégiques, qu'il cite en référence, situe précisément à partir de 2022 le moment où la France « n'était plus en odeur de sainteté » auprès des opinions publiques sahélienne et africaine — chassée par des régimes bénéficiant de l'onction populaire, au profit de partenaires jugés plus crédibles : Russie, Chine, Turquie. C'est à partir de ce basculement politique, et non l'inverse, que les récits médiatiques occidentaux sur le Sahel ont changé de ton.</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 langue que comprend pourtant environ 82 % de la population malienne. Le lancement d'un service en bambara, puis d'un journal en peul (langue qui, selon les mêmes analystes, n'avait jamais eu de rédaction dédiée avant le conflit), est présenté par ses détracteurs panafricanistes non comme un progrès éditorial mais comme un outil de ciblage : « Quand on parle à quelqu'un dans sa langue maternelle, il comprend avec le cœur » — la formule, vraie pour l'éducation ou la santé publique, devient une arme quand l'objectif est la persuasion politique plutôt que l'information. Le procédé rejoint celui documenté plus haut avec Radio Mille Collines au Rwanda (chapitre correspondant) : la proximité linguistique n'est jamais neutre, elle est un vecteur d'efficacité — pour le meilleur ou pour le pire, selon qui la manie et dans quel but.</w:t>
      </w:r>
    </w:p>
    <w:p>
      <w:pPr>
        <w:spacing w:after="60"/>
        <w:ind w:firstLine="567"/>
      </w:pPr>
      <w:r>
        <w:rPr>
          <w:rFonts w:ascii="FreeSerif" w:hAnsi="FreeSerif"/>
          <w:sz w:val="22"/>
        </w:rPr>
        <w:t>La même lecture critique s'applique aux noms de code des opérations militaires françaises en Afrique — une sémiotique que des analystes panafricanistes déchiffrent comme un langage à double fond, officiel en façade, révélateur en creux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 (Cymothoe sangaris)</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 ce sont les désignations officielles données par l'état-major français à ses opérations. Ce qui relève de l'interprétation, et doit être présenté comme tel, c'est la lecture symbolique qu'en font des commentateurs panafricanistes : pour eux, le choix d'un félin qui « marque son territoire », d'une dune « réunifiant » le désert sous une même autorité, ou d'une créature héraldique conçue pour vaincre l'emblème même du pays visé, n'est pas un hasard poétique mais un aveu inconscient — le langage du colonisateur qui, même dans le choix d'un nom de code, continue de penser en termes de conquête, de territoire et de domination symbolique. Qu'on y voie une coïncidence de communicants en mal d'inspiration ou un lapsus institutionnel révélateur, le fait est là : le vocabulaire martial français en Afrique n'a jamais choisi ses métaphores dans le registre de la coopération.</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Abdoul Niang, journaliste malien, intervention télévisée sur la RTB, 2026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 ; analyse panafricaniste sur la sémiotique des opérations militaires françaises et le lancement des programmes en bambara et en peul de RFI, tribune audio,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Grief</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r>
      <w:r>
        <w:rPr>
          <w:rFonts w:ascii="FreeSerif" w:hAnsi="FreeSerif"/>
          <w:i/>
          <w:color w:val="8B1A1A"/>
          <w:sz w:val="22"/>
        </w:rPr>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 le Yaadga est la région où l'on parle sans gants. « Je vais parler de manière crue. Je vais boxer. » Ce qui suit n'est pas un discours de terrain ordinaire. C'est la déclaration doctrinale la plus dense de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immédiat donne sa gravité au propos. En 2022, rappelle un responsable de la veille citoyenne, la route de Ouahigouya était coupée, l'aérodrome inaccessible, la route nationale 1 elle-même sectionnée. En 2026, les axes rouverts, les brigades Faso Mêbo se déploient — chaque région, y compris les nouvelles, doit avoir la sienne avant la fin de l'année, et ce sont les populations elles-mêmes, gouverneur en tête, qui décideront des routes prioritaires. Traoré cite le contre-exemple fondateur : une route promise au bitumage depuis les années 1970 — « avant que moi-même je naisse » —, votée et revotée à chaque scrutin depuis un demi-siècle, jamais réalisée.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 celui qui vient te faire du mal, tu finis par l'aimer et le protéger ». Appliqué à l'échelle d'un continent : « Beaucoup de gens sont atteints de ce syndrome, que ce soit ici au Burkina ou en Afrique en général, parce que l'Afrique a beaucoup souffert et on a voulu effacer son histoire. » Le remède est celui que ce livre suit depuis le chapitre 23 et l'IPN Farafina : réinterroger l'histoire sans en occulter aucune partie. Les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l'histoire, il la déroule sans précaution : plus de mille ans de traite arabo-musulmane — la castration des hommes valides, le dernier marché aux esclaves fermé à Médine en 1962 —, quatre cents ans de traite occidentale, et un esclavage qui continue en 2026, où des Noirs sont encore capturés et vendus (le chapitre 11 a documenté les marchés libyens). Il exhume un épisode que la France préfère oublier : en 1994, un parc animalier français — le « village de Bamboula », près de Nantes — exhibait une trentaine d'Ivoiriens parmi les animaux. « Ce sont les blancs qui se sont battus pour qu'on ferme le parc. Ce ne sont pas des noirs. » Le zoo humain fonctionnait en France cinquante ans après la Libération ; sa fermeture fut arrachée par des associations françaises antiracistes, pas par une mobilisation africaine. C'est exactement le syndrome décrit : la victime n'avait même pas protesté.</w:t>
      </w:r>
    </w:p>
    <w:p>
      <w:pPr>
        <w:spacing w:before="200" w:after="80"/>
      </w:pPr>
      <w:r>
        <w:rPr>
          <w:rFonts w:ascii="FreeSerif" w:hAnsi="FreeSerif"/>
          <w:b/>
          <w:color w:val="2C3A4A"/>
          <w:sz w:val="20"/>
        </w:rPr>
        <w:t>La première histoire : quatre produits pour affaiblir un peuple</w:t>
      </w:r>
    </w:p>
    <w:p>
      <w:pPr>
        <w:spacing w:after="60"/>
      </w:pPr>
      <w:r>
        <w:rPr>
          <w:rFonts w:ascii="FreeSerif" w:hAnsi="FreeSerif"/>
          <w:sz w:val="22"/>
        </w:rPr>
        <w:t xml:space="preserve">Vient alors la première révélation — un témoignage de chef d'État, prononcé publiquement, qui doit être rapporté avec son statut : celui d'une parole officielle de première main, non recoupée de manière indépendante à ce jour. Des agents de services secrets d'un pays occidental, raconte Traoré, sont venus proposer au gouvernement burkinabè </w:t>
      </w:r>
      <w:r>
        <w:rPr>
          <w:rFonts w:ascii="FreeSerif" w:hAnsi="FreeSerif"/>
          <w:b/>
          <w:sz w:val="22"/>
        </w:rPr>
        <w:t>quatre produits à introduire dans la nourriture</w:t>
      </w:r>
      <w:r>
        <w:rPr>
          <w:rFonts w:ascii="FreeSerif" w:hAnsi="FreeSerif"/>
          <w:sz w:val="22"/>
        </w:rPr>
        <w:t xml:space="preserve"> destinée aux zones tenues par les groupes armés — « ça se met dans tout : la bière, le sucré, la cigarette, le riz, le lait ». Il détaille trois effets : un produit qui « tue le cerveau », fermant peu à peu les neurones ; un produit qui détruit la capacité physique — le coureur de 12 kilomètres n'en court plus que 4 ; un produit de somnolence. L'argument de vente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d'administration (eau, nourriture, boissons, bière), mêmes trois effets déclarés (action sur le cerveau, réduction des capacités physiques, somnolence), présenté officiellement comme un outil de lutte contre les groupes terroristes. Cette occurrence distincte, si elle ne constitue toujours pas une preuve indépendante au sens strict, exclut l'hypothèse d'un dérapage isolé ou d'une improvisation de tribune : le chef de l'État tient la même version, dans le même détail, face à des publics et des médias différents — ce qui est la définition même d'un témoignage constant, à défaut d'être corroboré. Traoré y élargit le cadre au registre sanitaire : il relie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seulement comparables à ceux qui protègent les consommateurs occidentaux. Il y ajoute une lecture géopolitique : certains responsables occidentaux considèrent ouvertement la croissance démographique africaine — un continent appelé à compter 1,5 milliard d'habitants — comme un « défi mondial », formule qui recoupe directement le rapport Kissinger NSSM-200 cité plus bas dans ce même témoignage.</w:t>
      </w:r>
    </w:p>
    <w:p>
      <w:pPr>
        <w:spacing w:after="60"/>
        <w:ind w:firstLine="567"/>
      </w:pPr>
      <w:r>
        <w:rPr>
          <w:rFonts w:ascii="FreeSerif" w:hAnsi="FreeSerif"/>
          <w:sz w:val="22"/>
        </w:rPr>
        <w:t xml:space="preserve">Qu'on mesure la portée : que l'offre ait été faite est un fait rapporté par le chef d'État qui affirme l'avoir reçue et déclinée ; que de tels programmes aient déjà servi ailleurs est l'aveu prêté aux démarcheurs eux-mêmes. Le faisceau documentaire environnant ne permet pas d'écarter le témoignage d'un revers de main : le rapport Kissinger NSSM-200 liant démographie du Sud et sécurité américaine (chapitre 31), les stérilisations de masse péruviennes, et le scandale documenté des laits infantiles à double formule — « le lait qu'ils vendent à leurs enfants là-bas, ce n'est pas le même qu'ils vendent en Afrique » — forment le contexte dans lequel cette proposition a été formulée. C'est de cette histoire que Traoré tire la doctrine du </w:t>
      </w:r>
      <w:r>
        <w:rPr>
          <w:rFonts w:ascii="FreeSerif" w:hAnsi="FreeSerif"/>
          <w:b/>
          <w:sz w:val="22"/>
        </w:rPr>
        <w:t>consommer local</w:t>
      </w:r>
      <w:r>
        <w:rPr>
          <w:rFonts w:ascii="FreeSerif" w:hAnsi="FreeSerif"/>
          <w:sz w:val="22"/>
        </w:rPr>
        <w:t xml:space="preserve"> comme impératif de sécurité nationale, et non de folklore économique : « On veut faire toutes les unités de transformation possibles pour qu'on consomme ce qu'on produit et éviter d'importer ce que nous ne savons pas. » L'interdiction d'importer du riz, décidée quelques mois plus tôt après que la production nationale — tracteurs, intrants, semences financés par l'État — a atteint l'autosuffisance, relève de la même logique. Et il nomme l'ennemi intérieur qu'elle a réveillé : les importateurs évincés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histoire : « Daniel », ou la malédiction comme doctrine</w:t>
      </w:r>
    </w:p>
    <w:p>
      <w:pPr>
        <w:spacing w:after="60"/>
      </w:pPr>
      <w:r>
        <w:rPr>
          <w:rFonts w:ascii="FreeSerif" w:hAnsi="FreeSerif"/>
          <w:sz w:val="22"/>
        </w:rPr>
        <w:t>La seconde révélation remonte à 2023. Un visiteur français — Traoré l'appelle « Daniel » et précise : « ce monsieur est de la DGSE » — lui tient en face le discours suivant : vous êtes en avance sur votre temps, votre peuple ne vous comprendra pas ; Sankara aussi était en avance, et « quand on a tué Sankara, c'est passé comme une lettre à la poste » ; personne n'a bougé. Puis la sentence : « Monsieur le Président, excusez-moi, mais le noir est maudit. Ils ne pourront jamais être constants. » Traoré raconte s'être agrippé à sa chaise pour écouter jusqu'au bout, puis avoir raccompagné son visiteur.</w:t>
      </w:r>
    </w:p>
    <w:p>
      <w:pPr>
        <w:spacing w:after="60"/>
        <w:ind w:firstLine="567"/>
      </w:pPr>
      <w:r>
        <w:rPr>
          <w:rFonts w:ascii="FreeSerif" w:hAnsi="FreeSerif"/>
          <w:sz w:val="22"/>
        </w:rPr>
        <w:t>Il dit s'être souvenu de Daniel trois ans plus tard — à l'été 2026, quand la mécanique s'est mise en marche. Selon le président, un agent nommé Emmanuel, en poste à l'ambassade de France, exfiltré avant l'expulsion « sûrement par la complicité de certains », avait multiplié avec le chargé d'affaires les rencontres dans les milieux artistiques, culturels et surtout de la communication, « pour préparer les esprits ». Objectif assigné : « agir au plus tard en août pour mettre fin à notre révolution ». Le levier retenu — celui que Daniel avait théorisé — est le plus vieux de la panoplie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puis s'est brisée sur l'étape suivante : les syndicats n'ont pas suivi, et l'arrestation de l'imam, loin de déclencher l'embrasement espéré, a été contenue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travesti. La loi incriminée n'interdit nulle part de prier — ni dans les services, ni sur la place publique. Elle exige une chose : que les occupations de la voie publique soient déclarées et autorisées, pour que les services d'urgence — les pompiers en tête, chez qui les autorisations municipales sont déposées chaque matin — sachent quels axes sont occupés avant une intervention. « Tu peux prier dans ton bureau, tu peux prier dehors, il n'y a pas de problème. On a juste dit de prendre des autorisations. » L'imam qui a soulevé la rue, dit le président, « a lu la loi, il a compris la loi » — la manipulation n'était pas une erreur, c'était un choix. Et l'homme n'était pas un inconnu : en 2019, il avait créé une « police islamique » sans qu'aucun politicien n'ose réagir.</w:t>
      </w:r>
    </w:p>
    <w:p>
      <w:pPr>
        <w:spacing w:after="60"/>
        <w:ind w:firstLine="567"/>
      </w:pPr>
      <w:r>
        <w:rPr>
          <w:rFonts w:ascii="FreeSerif" w:hAnsi="FreeSerif"/>
          <w:sz w:val="22"/>
        </w:rPr>
        <w:t>Traoré, musulman, parle ici en musulman : il salue « les imams valeureux, dignes et patriotes qui continuent de prêcher la bonne parole », annonce que l'État les soutiendra, et trace la ligne pour les autres — suspensions de prêche déjà prononcées, et combat frontal promis à l'extrémisme : « Si tu penses que tu peux vivre au VIIe siècle, tu pars, tu trouves une brousse et tu vis là-bas. » Il retourne l'argument théologique contre les extrémistes avec l'arme du concret : la kalachnikov du jihadiste, sa moto, son véhicule — tout est fabriqué par ceux qu'il appelle des mécréants. « Va tailler ton gourdin — là, c'est toi qui l'as fait, c'est halal. Et tu viens, on va combattre. »</w:t>
      </w:r>
    </w:p>
    <w:p>
      <w:pPr>
        <w:spacing w:after="60"/>
        <w:ind w:firstLine="567"/>
      </w:pPr>
      <w:r>
        <w:rPr>
          <w:rFonts w:ascii="FreeSerif" w:hAnsi="FreeSerif"/>
          <w:sz w:val="22"/>
        </w:rPr>
        <w:t>Et il lâche, au passage, un aveu d'une portée considérable : des émissaires sont venus proposer que le Burkina devienne un État islamique. « Le terrorisme finirait, c'est sûr, on aurait la paix — mais on serait une base arrière, un cancer au milieu de l'Afrique de l'Ouest pour déstabiliser les autres. Moi, je ne fonctionne pas comme ça. » La paix était donc disponible — au prix de la transformation du pays en sanctuaire. Ce refus explique une partie de la guerre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complète le tableau : les services burkinabè recensent plus d'un millier de jeunes Burkinabè partis étudier dans certains pays arabes — plus de 800 déjà identifiés — dont les ambassades elles-mêmes ignoraient l'existence. Ce qu'ils apprennent : la charia, les lois islamiques, la jurisprudence islamique. Ce qu'aucun d'entre eux n'apprend : un métier. « Personne, sur cette liste, n'apprend un seul métier. C'est pour venir appliquer la charia ici. » La décision est annoncée : ils seront rappelés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documenté plus haut dans ce chapitre : aucune religion sous perfusion extérieure.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les officines croyaient exploitable : celle du « numéro 2 », de « l'homme fort » à courtiser.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s'adresse nommément aux opérateurs économiques qui cherchent « l'homme fort » avec qui négocier — « il n'y a pas d'homme fort ; c'est vous qui mettez des choses dans la tête de certains » — et à ses propres collaborateurs : tout comportement antirévolutionnaire sera puni, et la punition d'un responsable sera multipliée « par deux, par trois — parce que tu es responsable ». La discipline n'est pas un caprice de caserne : dans un pays ciblé par un plan de déstabilisation daté, elle est une condition de survie.</w:t>
      </w:r>
    </w:p>
    <w:p>
      <w:pPr>
        <w:spacing w:after="60"/>
        <w:ind w:firstLine="567"/>
      </w:pPr>
      <w:r>
        <w:rPr>
          <w:rFonts w:ascii="FreeSerif" w:hAnsi="FreeSerif"/>
          <w:sz w:val="22"/>
        </w:rPr>
        <w:t>Il y met sa propre vie en balance, avec une phrase qui dit le prix personnel de la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L'inventaire du matin africain : la serviette, le dentifrice, les habits, les sous-vêtements, la tasse de thé, la moto — tout est importé. « On ne fabrique rien. » Face à cela, l'inventaire de ce que Dieu a donné : le vent, le soleil, le feu ; l'argile dont on fait le ciment ; le fer dont on fait l'acier ; et « le sang de la terre » — le pétrole. Le raisonnement théologique qui suit est peut-être la formule la plus audacieuse jamais prononcée par un chef d'État sahélien : refuser d'utiliser son cerveau, c'est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condense tout : inventés par un Noir — Garrett Morgan, brevet américain de 1923 —, mais tous les feux de Ouagadougou sont de fabrication française. « Un Noir a créé ça. Où est l'usine qui le fabrique en Afrique ? » D'où la réforme annoncée pour les universités technologiques et les lycées techniques : l'ingénieur devra fabriquer ou copier — « les longs papiers, on ne va plus donner ça. Si tu es technicien, tu prouves. » Copier n'est pas une honte : c'est ainsi que toutes les puissances industrielles ont commencé, et « si on ne le fait pas, c'est qu'on refuse d'utiliser notre cerveau ».</w:t>
      </w:r>
    </w:p>
    <w:p>
      <w:pPr>
        <w:spacing w:after="60"/>
        <w:ind w:firstLine="567"/>
      </w:pPr>
      <w:r>
        <w:rPr>
          <w:rFonts w:ascii="FreeSerif" w:hAnsi="FreeSerif"/>
          <w:sz w:val="22"/>
        </w:rPr>
        <w:t>La même exigence de rationalité s'applique à l'or : des milliers d'orpailleurs détruisent la nature de manière anarchique, puis « prenez mille personnes qui partent payer des véhicules de 20 millions — ça fait 20 milliards qu'on a donnés comme ça, pendant qu'on n'a même pas de route pour rouler dessus ». L'État prendra le contrôle. Et à ceux qui boivent le champagne pendant que les mères dorment devant les forages pour un bidon d'eau, il oppose le chantier en cours — le barrage de Ouahigouya lancé par le Premier ministre — et une loi d'airain de la guerre sociale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d'armes récents servent de démonstration. Après la rupture diplomatique de juin, Traoré s'attendait à une riposte sous deux à trois semaines — « la condescendance rend bête : dans leur tête, comment un esclave peut-il dire au maître de partir ? Il faut le corriger pour que les autres voient. » La riposte est venue : des attaques coordonnées lancées contre Gayéri, Solhan et Sebba. À Solhan, les assaillants « sont tombés sur des gendarmes déterminés qui les ont matés ». Et le président révèle le versant médiatique de l'opération, réplique exacte du dispositif Doumbia documenté au chapitre 21 : des correspondants locaux de chaînes françaises — « des noirs qu'ils utilisent pour présenter ces émissions, et leurs correspondants, des noirs burkinabè aussi » — s'étaient préparés et maquillés en studio, attendant les résultats de l'attaque pour monter à l'antenne confirmer « le mensonge » proféré au Parlement européen sur l'effondrement sécuritaire du pays. L'attaque ayant échoué, « ils sont restés en deuil. Il y en a qui ne se sont plus démaquillés. » Le relais était pré-positionné ; la victoire militaire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son emprunt obligataire de la diaspora. Résultat : sursouscrit. « On a eu plus que ce qu'on voulait. » Le test de confiance a eu lieu au pire moment choisi par l'adversaire, et c'est l'adversaire qui l'a perdu. Troisième démonstration : les ONG humanitaires éconduites — « il y a des choses qu'on n'accepte plus ; allez donner ailleurs » — avec la parabole du père de famille : celui qui veut vraiment aider des enfants passe par leur père, il ne les nourrit pas contre lui pour prouver que le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et il fallait qu'il soit prononcé ici, dans le Yatenga. Sa grand-mère a eu ses enfants après les indépendances, passé cinquante ans — « un miracle dans le village ». La raison : sous la pénétration coloniale, il était interdit de se marier et de faire des enfants, et presque tous les hommes du village avaient été tués. « Moi, j'ai failli ne pas naître à cause de l'effet de ces gens. » Il a grandi près d'elle, a vu sur son corps les traces des maltraitances,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Elle était un test proposé à chaque auditeur : « Vous allez détecter, à travers mes propos, tous ceux qui ont le gène de la malédiction en eux. Et notre grande chance, c'est que la grande majorité n'est pas maudite. » La malédiction de Daniel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(reprise de la même histoire des « quatre produits »)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chapitres 11, 21, 23, 27, 30 et 31 de ce livre.</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Dispositif</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before="280" w:after="120"/>
        <w:pBdr>
          <w:bottom w:val="single" w:sz="7" w:space="3" w:color="A07820"/>
        </w:pBdr>
      </w:pPr>
      <w:r>
        <w:rPr>
          <w:rFonts w:ascii="FreeSerif" w:hAnsi="FreeSerif"/>
          <w:b/>
          <w:color w:val="2C3A4A"/>
          <w:sz w:val="22"/>
        </w:rPr>
        <w:t>Le bilan, un an après : la réponse aux faux amis</w:t>
      </w:r>
    </w:p>
    <w:p>
      <w:pPr>
        <w:spacing w:after="60"/>
      </w:pPr>
      <w:r>
        <w:rPr>
          <w:rFonts w:ascii="FreeSerif" w:hAnsi="FreeSerif"/>
          <w:sz w:val="22"/>
        </w:rPr>
        <w:t>Au premier anniversaire de la Charte, l'analyste panafricaniste Banda Kani refuse l'exercice qu'on veut lui imposer — dresser un « bilan » de l'AES selon les termes fixés par ses adversaires. Sa réponse mérite d'être citée pour sa clarté : « On ne fait pas le bilan pour répondre aux demandes plus ou moins déguisées d'ennemis qui exigent en deux jours des résultats qu'eux-mêmes n'ont pas obtenus en soixante ans. » L'AES, dit-il, n'a de comptes à rendre ni à ses ennemis déclarés, ni à ces « faux africains » qui n'ont jamais cru au combat souverainiste et qui ont regardé la partie depuis la touche, prêts à rejoindre le camp du vainqueur au moment venu — pour prétendre ensuite qu'ils y étaient depuis le début.</w:t>
      </w:r>
    </w:p>
    <w:p>
      <w:pPr>
        <w:spacing w:after="60"/>
        <w:ind w:firstLine="567"/>
      </w:pPr>
      <w:r>
        <w:rPr>
          <w:rFonts w:ascii="FreeSerif" w:hAnsi="FreeSerif"/>
          <w:sz w:val="22"/>
        </w:rPr>
        <w:t>Le procédé qu'il dénonce est précis : des médias français qui, chaque matin, évaluent les prouesses militaires de Bamako pour conclure que « la montée en puissance » de l'armée malienne est un mirage — les mêmes médias, et le même pays, qui n'ont produit aucun résultat sécuritaire en soixante ans de présence sur le continent. Kani mobilise une comparaison délibérément provocatrice : la Chine a mis soixante-quinze ans, avec des échecs majeurs en cours de route — sans que ce livre en reprenne le récit occidental d'une révolution qui ne le concerne pas —, pour bâtir la puissance qu'elle est devenue. Exiger de l'AES des résultats définitifs après un an relève de la mauvaise foi calculée plutôt que de l'exigence légitime. Sa conclusion est sans détour : « Que la propagande produise 350 000 émissions par jour contre le Mali, ça ne servira à rien. Le Mali ne tombera pas. »</w:t>
      </w:r>
    </w:p>
    <w:p>
      <w:pPr>
        <w:spacing w:after="60"/>
        <w:ind w:firstLine="567"/>
      </w:pPr>
      <w:r>
        <w:rPr>
          <w:rFonts w:ascii="FreeSerif" w:hAnsi="FreeSerif"/>
          <w:sz w:val="22"/>
        </w:rPr>
        <w:t>Cette confiance affichée ne relève pas de l'aveuglement : elle s'appuie, dit Kani, sur un précédent concret — l'échec de la menace d'invasion que la CEDEAO faisait peser sur le Niger en 2023, sous l'impulsion de la Côte d'Ivoire d'Alassane Ouattara. « On va attaquer, on va attaquer » : la menace a été répétée pendant des mois, avant d'être discrètement abandonnée quand le Mali et le Burkina Faso ont averti que toucher au Niger revenait à leur déclarer la guerre à tous les trois. Un an plus tôt, cette solidarité inconditionnelle entre trois États sahéliens était impensable pour la diplomatie occidentale. Elle a pourtant suffi à faire reculer une organisation régionale entière.</w:t>
      </w:r>
    </w:p>
    <w:p>
      <w:pPr>
        <w:spacing w:after="60"/>
        <w:ind w:firstLine="567"/>
      </w:pPr>
      <w:r>
        <w:rPr>
          <w:rFonts w:ascii="FreeSerif" w:hAnsi="FreeSerif"/>
          <w:sz w:val="22"/>
        </w:rPr>
        <w:t>L'humiliation diplomatique qui a suivi ne s'est pas arrêtée à la question militaire. Kani rappelle qu'avant la rupture, un ambassadeur occidental pouvait, dans les capitales sahéliennes, se comporter en territoire conquis — recevoir un chef d'État sans y avoir été convié, dicter des orientations politiques sans mandat. « Depuis quand est-ce qu'ils savent ce qu'on appelle la dignité ? » demande Kani, résumant en une phrase des décennies d'arrogance diplomatique. Un diplomate occidental serait allé jusqu'à menacer le Niger sur sa dépendance à l'eau et à l'électricité françaises : « Vous pouvez vivre sans nous ? L'eau, c'est grâce à nous. Sans la France, vous n'allez pas boire. » Le pouvoir nigérien a répondu par un ultimatum de deux jours, suivi d'un embargo total contre l'ambassade — jusqu'aux livraisons de croissants, coupées elles aussi.</w:t>
      </w:r>
    </w:p>
    <w:p>
      <w:pPr>
        <w:spacing w:after="60"/>
        <w:ind w:firstLine="567"/>
      </w:pPr>
      <w:r>
        <w:rPr>
          <w:rFonts w:ascii="FreeSerif" w:hAnsi="FreeSerif"/>
          <w:sz w:val="22"/>
        </w:rPr>
        <w:t>Ce régime d'impunité diplomatique a pris fin avec l'expulsion de l'ambassadeur de France du Mali, sommé de quitter le pays par avion. La France a répliqué en suspendant ses liaisons aériennes vers Bamako — pariant que la perte de cette desserte contraindrait les autorités maliennes à composer. Le calcul s'est retourné contre Paris : ce sont les compagnies et les circuits commerciaux français qui ont perdu, chaque jour, des centaines de millions de francs CFA de recettes générées par cette ligne, désormais contournée. Rien n'a forcé Bamako à revenir sur sa décision. Kani résume l'admonestation adressée depuis le Sahel à l'Élysée lui-même : « Monsieur le président, descendez sur terre. Vous êtes dans une bulle, et cette bulle aura des conséquences terribles. »</w:t>
      </w:r>
    </w:p>
    <w:p>
      <w:pPr>
        <w:spacing w:after="60"/>
        <w:ind w:firstLine="567"/>
      </w:pPr>
      <w:r>
        <w:rPr>
          <w:rFonts w:ascii="FreeSerif" w:hAnsi="FreeSerif"/>
          <w:sz w:val="22"/>
        </w:rPr>
        <w:t>Au Niger, le même schéma s'est répété sur un autre dossier : celui d'un accord de base militaire avec les États-Unis. Confronté à un statu quo qu'il jugeait inacceptable, le pouvoir nigérien a donné aux forces américaines un délai d'un mois pour évacuer le territoire. Elles sont parties. Un scénario jugé irréaliste s'est confirmé en quelques semaines — la preuve, selon Kani, que la puissance occidentale qui prétendait tout contrôler dans la région n'y disposait en réalité que d'une présence tolérée, jamais d'une souveraineté.</w:t>
      </w:r>
    </w:p>
    <w:p>
      <w:pPr>
        <w:spacing w:after="60"/>
        <w:ind w:firstLine="567"/>
      </w:pPr>
      <w:r>
        <w:rPr>
          <w:rFonts w:ascii="FreeSerif" w:hAnsi="FreeSerif"/>
          <w:sz w:val="22"/>
        </w:rPr>
        <w:t>Kani met enfin en garde contre un dernier piège, plus subtil : les propositions occidentales d'intégration symbolique, comme une place au G20, qu'il faut lire comme un geste d'apaisement plutôt que comme une reconnaissance de rupture — « le piège, c'est le génie de l'impérialisme : il vous fait croire qu'il contrôle tout, alors que c'est précisément parce qu'il ne contrôle plus rien qu'il propose ce genre d'accommodement. »</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00" w:after="80"/>
      </w:pPr>
      <w:r>
        <w:rPr>
          <w:rFonts w:ascii="FreeSerif" w:hAnsi="FreeSerif"/>
          <w:b/>
          <w:color w:val="2C3A4A"/>
          <w:sz w:val="20"/>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Vers le 25 avril : Niamey, puis Bamako</w:t>
      </w:r>
    </w:p>
    <w:p>
      <w:pPr>
        <w:spacing w:before="200" w:after="80"/>
      </w:pPr>
      <w:r>
        <w:rPr>
          <w:rFonts w:ascii="FreeSerif" w:hAnsi="FreeSerif"/>
          <w:b/>
          <w:color w:val="2C3A4A"/>
          <w:sz w:val="20"/>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80"/>
      </w:pPr>
      <w:r>
        <w:rPr>
          <w:rFonts w:ascii="FreeSerif" w:hAnsi="FreeSerif"/>
          <w:b/>
          <w:color w:val="2C3A4A"/>
          <w:sz w:val="20"/>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 résistance et reconquête</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00" w:after="80"/>
      </w:pPr>
      <w:r>
        <w:rPr>
          <w:rFonts w:ascii="FreeSerif" w:hAnsi="FreeSerif"/>
          <w:b/>
          <w:color w:val="2C3A4A"/>
          <w:sz w:val="20"/>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Les preuves s'accumulent</w:t>
      </w:r>
    </w:p>
    <w:p>
      <w:pPr>
        <w:spacing w:before="200" w:after="80"/>
      </w:pPr>
      <w:r>
        <w:rPr>
          <w:rFonts w:ascii="FreeSerif" w:hAnsi="FreeSerif"/>
          <w:b/>
          <w:color w:val="2C3A4A"/>
          <w:sz w:val="20"/>
        </w:rPr>
        <w:t>Juillet 2026 : Anéfis, et la confirmation par TASS</w:t>
      </w:r>
    </w:p>
    <w:p>
      <w:pPr>
        <w:spacing w:after="60"/>
      </w:pPr>
      <w:r>
        <w:rPr>
          <w:rFonts w:ascii="FreeSerif" w:hAnsi="FreeSerif"/>
          <w:sz w:val="22"/>
        </w:rPr>
        <w:t xml:space="preserve">L'été 2026 apporte une pièce supplémentaire au dossier — et, fait notable, elle n'émerge ni d'une enquête panafricaniste ni d'une fuite occidentale, mais d'un entretien accordé par un responsable malien à l'agence de presse russe </w:t>
      </w:r>
      <w:r>
        <w:rPr>
          <w:rFonts w:ascii="FreeSerif" w:hAnsi="FreeSerif"/>
          <w:b/>
          <w:sz w:val="22"/>
        </w:rPr>
        <w:t>TASS</w:t>
      </w:r>
      <w:r>
        <w:rPr>
          <w:rFonts w:ascii="FreeSerif" w:hAnsi="FreeSerif"/>
          <w:sz w:val="22"/>
        </w:rPr>
        <w:t xml:space="preserve">. Le 9 juillet 2026, </w:t>
      </w:r>
      <w:r>
        <w:rPr>
          <w:rFonts w:ascii="FreeSerif" w:hAnsi="FreeSerif"/>
          <w:b/>
          <w:sz w:val="22"/>
        </w:rPr>
        <w:t>Fouseynou Ouattara</w:t>
      </w:r>
      <w:r>
        <w:rPr>
          <w:rFonts w:ascii="FreeSerif" w:hAnsi="FreeSerif"/>
          <w:sz w:val="22"/>
        </w:rPr>
        <w:t xml:space="preserve">, vice-président de la Commission de défense du Conseil national de transition, y affirme que les services de sécurité maliens ont identifié plusieurs combattants ayant reçu une formation au pilotage de </w:t>
      </w:r>
      <w:r>
        <w:rPr>
          <w:rFonts w:ascii="FreeSerif" w:hAnsi="FreeSerif"/>
          <w:b/>
          <w:sz w:val="22"/>
        </w:rPr>
        <w:t>drones kamikazes en Ukraine</w:t>
      </w:r>
      <w:r>
        <w:rPr>
          <w:rFonts w:ascii="FreeSerif" w:hAnsi="FreeSerif"/>
          <w:sz w:val="22"/>
        </w:rPr>
        <w:t xml:space="preserve"> — individus répertoriés, dont l'identité figure sur les listes de surveillance des autorités. Ouattara va plus loin : les drones utilisés lors des attaques seraient eux-mêmes d'origine ukrainienne, et les combattants auraient été formés à la fois par des </w:t>
      </w:r>
      <w:r>
        <w:rPr>
          <w:rFonts w:ascii="FreeSerif" w:hAnsi="FreeSerif"/>
          <w:b/>
          <w:sz w:val="22"/>
        </w:rPr>
        <w:t>spécialistes de la Légion étrangère française</w:t>
      </w:r>
      <w:r>
        <w:rPr>
          <w:rFonts w:ascii="FreeSerif" w:hAnsi="FreeSerif"/>
          <w:sz w:val="22"/>
        </w:rPr>
        <w:t xml:space="preserve"> et par des </w:t>
      </w:r>
      <w:r>
        <w:rPr>
          <w:rFonts w:ascii="FreeSerif" w:hAnsi="FreeSerif"/>
          <w:b/>
          <w:sz w:val="22"/>
        </w:rPr>
        <w:t>instructeurs ukrainiens</w:t>
      </w:r>
      <w:r>
        <w:rPr>
          <w:rFonts w:ascii="FreeSerif" w:hAnsi="FreeSerif"/>
          <w:sz w:val="22"/>
        </w:rPr>
        <w:t xml:space="preserve"> — une convergence qui, si elle se confirme, rejoint noir sur blanc le canal France-Ukraine-Sahel documenté plus haut dans ce chapitre, cette fois nommé depuis Bamako et non depuis une enquête de presse française.</w:t>
      </w:r>
    </w:p>
    <w:p>
      <w:pPr>
        <w:spacing w:after="60"/>
        <w:ind w:firstLine="567"/>
      </w:pPr>
      <w:r>
        <w:rPr>
          <w:rFonts w:ascii="FreeSerif" w:hAnsi="FreeSerif"/>
          <w:sz w:val="22"/>
        </w:rPr>
        <w:t>Ouattara ajoute un indice linguistique qui mérite d'être noté avec sa prudence méthodologique propre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le constat se vérifie, il complète la cartographie des corridors transsahariens exposée au chapitre 12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Front de libération de l'Azawad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00" w:after="80"/>
      </w:pPr>
      <w:r>
        <w:rPr>
          <w:rFonts w:ascii="FreeSerif" w:hAnsi="FreeSerif"/>
          <w:b/>
          <w:color w:val="2C3A4A"/>
          <w:sz w:val="20"/>
        </w:rPr>
        <w:t>Un aveu venu de la gauche française</w:t>
      </w:r>
    </w:p>
    <w:p>
      <w:pPr>
        <w:spacing w:after="60"/>
      </w:pPr>
      <w:r>
        <w:rPr>
          <w:rFonts w:ascii="FreeSerif" w:hAnsi="FreeSerif"/>
          <w:sz w:val="22"/>
        </w:rPr>
        <w:t>Le constat n'est pas seulement dressé par des officiels sahéliens ou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 il ne prétend pas apporter une preuve technique. Mais il confirme, depuis l'Assemblée nationale française,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00" w:after="80"/>
      </w:pPr>
      <w:r>
        <w:rPr>
          <w:rFonts w:ascii="FreeSerif" w:hAnsi="FreeSerif"/>
          <w:b/>
          <w:color w:val="2C3A4A"/>
          <w:sz w:val="20"/>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Banda Kani situe cette dégradation dans une histoire plus longue de la relation algéro-malienne. Avant la rupture, dit-il, la norme de cette relation relevait d'un « paternalisme refoulé » : Alger se présentait en tuteur bienveillant, avertissant Bamako que son État « risquait de se disloquer » et qu'il valait mieux suivre les paramètres fixés par l'accord d'Alger de 2015 — un accord dont Kani rappelle qu'il a coexisté, en coulisses, avec des tractations algériennes avec Paris. Cette tutelle a cessé d'être tolérable au moment précis où l'armée malienne a repris Kidal et affirmé une doctrine de souveraineté totale sur son territoire. La question que Kani pose aux autorités algériennes est directe : en quoi la détermination du Mali à récupérer l'intégralité de son territoire — un objectif qu'une Algérie elle-même née d'une guerre d'indépendance devrait comprendre mieux que quiconque — nuirait-elle aux intérêts fondamentaux algériens ? Il n'y voit aucune réponse cohérente, seulement une hostilité croissante, relayée selon lui par une campagne médiatique algérienne coordonnée contre le Mali.</w:t>
      </w:r>
    </w:p>
    <w:p>
      <w:pPr>
        <w:spacing w:after="60"/>
        <w:ind w:firstLine="567"/>
      </w:pPr>
      <w:r>
        <w:rPr>
          <w:rFonts w:ascii="FreeSerif" w:hAnsi="FreeSerif"/>
          <w:sz w:val="22"/>
        </w:rPr>
        <w:t>Cette tension malo-algérienne s'inscrit elle-même dans une recomposition plus large, où la question du Sahara occidental ressurgit entre Alger et Rabat, avec un alignement croissant des États-Unis et d'Israël sur la position marocaine — et la France de Macron annonçant, elle aussi, son ralliement à cette même position. L'isolement diplomatique relatif de l'Algérie sur ce dossier n'est pas sans lien avec son durcissement envers Bamako.</w:t>
      </w:r>
    </w:p>
    <w:p>
      <w:pPr>
        <w:spacing w:after="60"/>
        <w:ind w:firstLine="567"/>
      </w:pPr>
      <w:r>
        <w:rPr>
          <w:rFonts w:ascii="FreeSerif" w:hAnsi="FreeSerif"/>
          <w:sz w:val="22"/>
        </w:rPr>
        <w:t>L'encerclement régional que Kani décrit ne se limite pas à l'Algérie. Il énumère les points d'appui que la France conserve ou reconquiert autour de l'AES : la Côte d'Ivoire, le Bénin, la Mauritanie — qu'il qualifie de « dernier bastion » régional de pratiques d'un autre âge —, et la Guinée, où le président Mamadi Doumbouya a accepté la réinstallation d'une base militaire française après avoir longtemps porté, dans ses discours, une rhétorique panafricaniste appuyée. Le Sénégal, dans cette lecture, pratique une diplomatie double : présent dans les instances panafricanistes tout en ménageant ses relations avec les capitaux qui financent l'encerclement. Aucun de ces points d'appui, note Kani, n'a jusqu'ici suffi à faire vaciller les trois États de l'AES — ils se sont au contraire renforcés chaque année qui a suivi la Charte de 2023.</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00" w:after="80"/>
      </w:pPr>
      <w:r>
        <w:rPr>
          <w:rFonts w:ascii="FreeSerif" w:hAnsi="FreeSerif"/>
          <w:b/>
          <w:color w:val="2C3A4A"/>
          <w:sz w:val="20"/>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Banda Kani, intervention publique sur le bilan de l'AES et les relations Mali-Algérie, 2026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 ; Fouseynou Ouattara, vice-président de la Commission de défense du CNT, entretien à TASS, 9 juillet 2026 ; ministère malien de la Défense et des Anciens Combattants, communiqué du 4 juillet 2026 sur les attaques coordonnées d'Aguelhok, Anéfis, Gao, Kenioroba, Konna, Sévaré et Somadougou ; RT France, 11 juillet 2026, sur le contrôle stratégique d'Anéfis par les FAMa et Africa Corps ; Jean-Luc Mélenchon, déclaration publique sur le financement et l'armement européens des combattants au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 au nord-est de la RCA, près des frontières du Soudan et du Soudan du Sud, dans la zone de Samwanja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 précisément la région où Kony se serait établi — recèle du manganèse, de l'or et des diamants, des ressources dont ce chapitre a déjà montré, à Bria,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dans ce livre à propos des bases américaines : la crise justifie l'infrastructure, l'infrastructure devient permanente, l'objectif déclaré — ici, un homme — n'a jamais besoin d'être atteint pour que le dispositif perdure.</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pPr>
        <w:spacing w:after="60"/>
        <w:ind w:firstLine="567"/>
      </w:pPr>
      <w:r>
        <w:rPr>
          <w:rFonts w:ascii="FreeSerif" w:hAnsi="FreeSerif"/>
          <w:i/>
          <w:sz w:val="22"/>
        </w:rPr>
        <w:t>Sources : Cour pénale internationale, mandat d'arrêt contre Joseph Kony, 2005, procédure en cours ; retrait de la traque de Joseph Kony par l'armée américaine, 2017 ; sources non officielles sur la localisation de Kony en Haute-Kotto, RCA, à recouper ; chapitre 21 de ce livre (ressources minières de la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Donateur / année</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Dimension</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 xml:space="preserve">Vladimir Poutine lui-même a formulé la doctrine russe en une phrase, reprise depuis par des commentateurs français eux-mêmes: « Je n'ai pas besoin de faire la guerre à l'Occident. Il me suffit de libérer l'Afrique, et l'Occident s'écroulera de lui-même. » La formule doit être lue pour ce qu'elle est — un calcul stratégique assumé par un chef d'État étranger, pas une prophétie neutre — mais son analyse sous-jacente a été reprise, chiffres à l'appui, par des voix situées en France même. Un commentateur y évalue le coût du reflux français hors d'Afrique à </w:t>
      </w:r>
      <w:r>
        <w:rPr>
          <w:rFonts w:ascii="FreeSerif" w:hAnsi="FreeSerif"/>
          <w:b/>
          <w:sz w:val="22"/>
        </w:rPr>
        <w:t>300 à 500 milliards d'euros par an</w:t>
      </w:r>
      <w:r>
        <w:rPr>
          <w:rFonts w:ascii="FreeSerif" w:hAnsi="FreeSerif"/>
          <w:sz w:val="22"/>
        </w:rPr>
        <w:t xml:space="preserve"> — un ordre de grandeur très supérieur aux </w:t>
      </w:r>
      <w:r>
        <w:rPr>
          <w:rFonts w:ascii="FreeSerif" w:hAnsi="FreeSerif"/>
          <w:b/>
          <w:sz w:val="22"/>
        </w:rPr>
        <w:t>41,2 milliards d'euros</w:t>
      </w:r>
      <w:r>
        <w:rPr>
          <w:rFonts w:ascii="FreeSerif" w:hAnsi="FreeSerif"/>
          <w:sz w:val="22"/>
        </w:rPr>
        <w:t xml:space="preserve"> de chiffre d'affaires cumulé des filiales françaises documentés plus haut dans ce livre (chapitre 30), ce qui signale une méthodologie différente, incluant vraisemblablement l'ensemble des flux indirects, financiers et stratégiques que les statistiques officielles de commerce extérieur ne captent pas. Le point de comparaison qu'il choisit est parlant: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le chiffre exact soit ou non vérifiable ne change rien à l'essentiel qu'il révèle: pour une partie de l'opinion française elle-même, la perte de l'Afrique n'est plus un non-sujet diplomatique — c'est devenu une question de soutenabilité budgétaire nationale.</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dit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de la Russie pour réformer ses structures de sécurité, et que Moscou n'a fait que répondre à cette demande. La réplique française et espagnole, telle que Lavrov la rapporte, mérite d'être citée intégralement, car elle dit tout du rapport de propriété que Paris entretient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n'en recoupe pas moins un fait documenté par ailleurs dans ce livre : le réflexe français de traiter le Sahel comme une zone d'appartenance plutôt que comme un ensemble de nations souveraines. C'est dans ce contexte que Lavrov réplique aux propos tenus par Emmanuel Macron accusant la Russie d'être « un vrai colonisateur » en Afrique — un renversement rhétorique que Moscou ne se prive pas d'exploiter, tout en accusant, de son côté, les formateurs et instructeurs ukrainiens présents sur le continent de chercher à s'allier aux forces opposées aux gouvernements légitimes pour s'imposer comme acteur politique et créer des difficultés aux pays proches de la Russie — une accusation symétrique à celle documentée plus haut dans ce livre (chapitre 20) sur la présence de formateurs ukrainiens aux côtés de groupes armés au Sahel.</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xml:space="preserve">, permet de mesurer précisément l'écart entre le récit du déclin français et la réalité de son emprise résiduelle — un écart qui est la clé de voûte de la recomposition décrite dans ce chapitre. Sur le plan commercial pur, le constat est sans appel : la part de marché française en Afrique subsaharienne est passée de </w:t>
      </w:r>
      <w:r>
        <w:rPr>
          <w:rFonts w:ascii="FreeSerif" w:hAnsi="FreeSerif"/>
          <w:b/>
          <w:sz w:val="22"/>
        </w:rPr>
        <w:t>15 % à la fin des années 1970 à 3 % aujourd'hui</w:t>
      </w:r>
      <w:r>
        <w:rPr>
          <w:rFonts w:ascii="FreeSerif" w:hAnsi="FreeSerif"/>
          <w:sz w:val="22"/>
        </w:rPr>
        <w:t>, et la France ne représente plus, pour l'essentiel du sous-continent, qu'un partenaire commercial secondaire. Ce recul, précise le rapport, est antérieur à la concurrence chinoise : il résulte d'abord de la désindustrialisation française elle-même, qui a réduit les besoins directs de l'Hexagone en matières premières africaines — coton, bauxite, minerai de fer — bien avant l'irruption des produits asiatiques sur le continent.</w:t>
      </w:r>
    </w:p>
    <w:p>
      <w:pPr>
        <w:spacing w:after="60"/>
        <w:ind w:firstLine="567"/>
      </w:pPr>
      <w:r>
        <w:rPr>
          <w:rFonts w:ascii="FreeSerif" w:hAnsi="FreeSerif"/>
          <w:sz w:val="22"/>
        </w:rPr>
        <w:t xml:space="preserve">Mais les chiffres du commerce extérieur, prévient le rapport, sont « très imparfaits » pour mesurer la réalité des intérêts français : la mondialisation a fragmenté les chaînes de valeur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La France y présente une singularité que ni l'Allemagne ni les Pays-Bas, pourtant plus gros exportateurs vers certains marchés africains, ne possèdent : </w:t>
      </w:r>
      <w:r>
        <w:rPr>
          <w:rFonts w:ascii="FreeSerif" w:hAnsi="FreeSerif"/>
          <w:b/>
          <w:sz w:val="22"/>
        </w:rPr>
        <w:t>2 421 filiales d'entreprises françaises</w:t>
      </w:r>
      <w:r>
        <w:rPr>
          <w:rFonts w:ascii="FreeSerif" w:hAnsi="FreeSerif"/>
          <w:sz w:val="22"/>
        </w:rPr>
        <w:t xml:space="preserve"> implantées en Afrique subsaharienne — six fois plus que les filiales allemandes, neuf fois plus que les filiales néerlandaises — générant en moyenne </w:t>
      </w:r>
      <w:r>
        <w:rPr>
          <w:rFonts w:ascii="FreeSerif" w:hAnsi="FreeSerif"/>
          <w:b/>
          <w:sz w:val="22"/>
        </w:rPr>
        <w:t>41,2 milliards d'euros de chiffre d'affaires annuel</w:t>
      </w:r>
      <w:r>
        <w:rPr>
          <w:rFonts w:ascii="FreeSerif" w:hAnsi="FreeSerif"/>
          <w:sz w:val="22"/>
        </w:rPr>
        <w:t>, près de quatre fois le montant total des exportations françaises vers la région. Ce chiffre d'affaires ne transite par aucune douane, n'apparaît dans aucune statistique commerciale, et pourtant il pèse directement sur les économies africaines où ces filiales opèrent — avant que les profits ne soient rapatriés vers les maisons mères.</w:t>
      </w:r>
    </w:p>
    <w:p>
      <w:pPr>
        <w:spacing w:after="60"/>
        <w:ind w:firstLine="567"/>
      </w:pPr>
      <w:r>
        <w:rPr>
          <w:rFonts w:ascii="FreeSerif" w:hAnsi="FreeSerif"/>
          <w:sz w:val="22"/>
        </w:rPr>
        <w:t xml:space="preserve">Cette emprise, le rapport le documente chiffre à l'appui, se concentre presque exclusivement dans l'ancien pré carré. Le poids de ces filiales dans le PIB national atteint des niveaux considérables : </w:t>
      </w:r>
      <w:r>
        <w:rPr>
          <w:rFonts w:ascii="FreeSerif" w:hAnsi="FreeSerif"/>
          <w:b/>
          <w:sz w:val="22"/>
        </w:rPr>
        <w:t>16,3 % au Gabon, 15,6 % au Sénégal, 13,2 % au Congo, 12,4 % au Burkina Faso, 11,6 % en Côte d'Ivoire</w:t>
      </w:r>
      <w:r>
        <w:rPr>
          <w:rFonts w:ascii="FreeSerif" w:hAnsi="FreeSerif"/>
          <w:sz w:val="22"/>
        </w:rPr>
        <w:t xml:space="preserve"> (données 2019-2021) — soit davantage que le poids du secteur informel dans nombre de ces économies, alors que ce même chiffre d'affaires ne représente que </w:t>
      </w:r>
      <w:r>
        <w:rPr>
          <w:rFonts w:ascii="FreeSerif" w:hAnsi="FreeSerif"/>
          <w:b/>
          <w:sz w:val="22"/>
        </w:rPr>
        <w:t>2,3 % de l'activité totale des multinationales françaises à l'étranger</w:t>
      </w:r>
      <w:r>
        <w:rPr>
          <w:rFonts w:ascii="FreeSerif" w:hAnsi="FreeSerif"/>
          <w:sz w:val="22"/>
        </w:rPr>
        <w:t>.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à la France. C'est très exactement la définition d'une relation asymétrique — et c'est très exactement ce qui explique pourquoi les mobilisations populaires, du mouvement « Auchan dégage » à Dakar en 2018 aux émeutes contre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Indicateur</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85 %</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11 %</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pPr>
              <w:jc w:val="right"/>
            </w:pPr>
            <w:r>
              <w:rPr>
                <w:rFonts w:ascii="FreeSerif" w:hAnsi="FreeSerif"/>
                <w:i/>
                <w:color w:val="2C3A4A"/>
                <w:sz w:val="18"/>
              </w:rPr>
              <w:t>Fait documenté</w:t>
            </w:r>
          </w:p>
        </w:tc>
        <w:tc>
          <w:tcPr>
            <w:tcW w:type="dxa" w:w="4677"/>
            <w:tcBorders>
              <w:left w:val="none" w:sz="0" w:space="0" w:color="auto"/>
              <w:insideV w:val="none" w:sz="0" w:space="0" w:color="auto"/>
              <w:insideH w:val="none" w:sz="0" w:space="0" w:color="auto"/>
              <w:right w:val="none" w:sz="0" w:space="0" w:color="auto"/>
              <w:top w:val="none" w:sz="0" w:space="0" w:color="auto"/>
              <w:bottom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left w:val="none" w:sz="0" w:space="0" w:color="auto"/>
              <w:insideV w:val="none" w:sz="0" w:space="0" w:color="auto"/>
              <w:insideH w:val="none" w:sz="0" w:space="0" w:color="auto"/>
              <w:top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insideV w:val="none" w:sz="0" w:space="0" w:color="auto"/>
              <w:insideH w:val="none" w:sz="0" w:space="0" w:color="auto"/>
              <w:right w:val="none" w:sz="0" w:space="0" w:color="auto"/>
              <w:top w:val="none" w:sz="0" w:space="0" w:color="auto"/>
              <w:bottom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