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20" w:line="288" w:lineRule="auto" w:before="960"/>
        <w:jc w:val="center"/>
        <w:rPr>
          <w:color w:val="888888"/>
          <w:sz w:val="48"/>
          <w:szCs w:val="48"/>
        </w:rPr>
      </w:pPr>
      <w:r>
        <w:rPr>
          <w:rFonts w:ascii="Garamond" w:eastAsia="Arial" w:hAnsi="Garamond" w:cs="Arial"/>
          <w:b w:val="0"/>
          <w:bCs/>
          <w:i/>
          <w:iCs/>
          <w:color w:val="1A1A2E"/>
          <w:sz w:val="22"/>
          <w:szCs w:val="54"/>
        </w:rPr>
        <w:t xml:space="preserve">Alliance des États du Sahel </w:t>
      </w:r>
    </w:p>
    <w:p w14:paraId="6AD70E6A" w14:textId="77777777" w:rsidR="006E716F" w:rsidRDefault="00000000">
      <w:pPr>
        <w:spacing w:after="0" w:line="288" w:lineRule="auto" w:before="480"/>
        <w:jc w:val="center"/>
      </w:pPr>
      <w:r>
        <w:rPr>
          <w:rFonts w:ascii="Garamond" w:eastAsia="Arial" w:hAnsi="Garamond" w:cs="Arial"/>
          <w:b/>
          <w:bCs/>
          <w:color w:val="1A1A2E"/>
          <w:sz w:val="64"/>
          <w:szCs w:val="64"/>
        </w:rPr>
        <w:t>LA PAIX,</w:t>
      </w:r>
    </w:p>
    <w:p w14:paraId="5750F5B6" w14:textId="77777777" w:rsidR="006E716F" w:rsidRDefault="00000000">
      <w:pPr>
        <w:spacing w:after="360" w:line="288" w:lineRule="auto" w:before="0"/>
        <w:jc w:val="center"/>
      </w:pPr>
      <w:r>
        <w:rPr>
          <w:rFonts w:ascii="Garamond" w:eastAsia="Arial" w:hAnsi="Garamond" w:cs="Arial"/>
          <w:b/>
          <w:bCs/>
          <w:color w:val="1A1A2E"/>
          <w:sz w:val="64"/>
          <w:szCs w:val="64"/>
        </w:rPr>
        <w:t>ON PEUT L’ÉVITER</w:t>
      </w:r>
    </w:p>
    <w:p w14:paraId="57EF3509" w14:textId="77777777" w:rsidR="006E716F" w:rsidRDefault="006E716F">
      <w:pPr>
        <w:spacing w:before="60" w:after="60"/>
      </w:pPr>
    </w:p>
    <w:p w14:paraId="0ED28605" w14:textId="77777777" w:rsidR="006E716F" w:rsidRDefault="00000000">
      <w:pPr>
        <w:spacing w:before="120" w:after="1200" w:line="288" w:lineRule="auto"/>
        <w:jc w:val="center"/>
        <w:rPr>
          <w:color w:val="888888"/>
        </w:rPr>
        <w:pBdr>
          <w:bottom w:val="single" w:sz="6" w:space="12" w:color="C8A951"/>
        </w:pBdr>
      </w:pPr>
      <w:r>
        <w:rPr>
          <w:rFonts w:ascii="Garamond" w:eastAsia="Arial" w:hAnsi="Garamond" w:cs="Arial"/>
          <w:b w:val="0"/>
          <w:bCs/>
          <w:i/>
          <w:iCs/>
          <w:color w:val="1A1A2E"/>
          <w:sz w:val="26"/>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before="1200"/>
        <w:jc w:val="center"/>
      </w:pPr>
      <w:r>
        <w:rPr>
          <w:rFonts w:ascii="Garamond" w:eastAsia="Arial" w:hAnsi="Garamond" w:cs="Arial"/>
          <w:b/>
          <w:i/>
          <w:iCs/>
          <w:color w:val="1A1A2E"/>
          <w:sz w:val="30"/>
        </w:rPr>
        <w:t xml:space="preserve"> BEN–H2O</w:t>
      </w:r>
    </w:p>
    <w:p w14:paraId="55A10651" w14:textId="77777777" w:rsidR="006E716F" w:rsidRDefault="000B473B" w:rsidP="00F23DDB">
      <w:pPr>
        <w:spacing w:after="40" w:line="312" w:lineRule="auto" w:before="40"/>
        <w:ind w:right="454"/>
        <w:jc w:val="center"/>
      </w:pPr>
      <w:r>
        <w:rPr>
          <w:rFonts w:ascii="Garamond" w:eastAsia="Arial" w:hAnsi="Garamond" w:cs="Arial"/>
          <w:b w:val="0"/>
          <w:i/>
          <w:iCs/>
          <w:color w:val="7B1E1E"/>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spacing w:before="960" w:after="40" w:line="276" w:lineRule="auto"/>
        <w:ind w:left="680" w:right="454"/>
        <w:pageBreakBefore/>
        <w:pBdr>
          <w:left w:val="single" w:sz="32" w:space="14" w:color="7B1E1E"/>
        </w:pBdr>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spacing w:before="160" w:after="40" w:line="276" w:lineRule="auto"/>
        <w:ind w:left="680" w:right="454"/>
        <w:pBdr>
          <w:left w:val="single" w:sz="32" w:space="14" w:color="7B1E1E"/>
        </w:pBdr>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spacing w:before="160" w:after="40" w:line="276" w:lineRule="auto"/>
        <w:ind w:left="680" w:right="454"/>
        <w:pBdr>
          <w:left w:val="single" w:sz="32" w:space="14" w:color="7B1E1E"/>
        </w:pBdr>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spacing w:before="160" w:after="40" w:line="276" w:lineRule="auto"/>
        <w:ind w:left="680" w:right="454"/>
        <w:pBdr>
          <w:left w:val="single" w:sz="32" w:space="14" w:color="7B1E1E"/>
        </w:pBdr>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spacing w:before="160" w:after="40" w:line="276" w:lineRule="auto"/>
        <w:ind w:left="680" w:right="454"/>
        <w:pBdr>
          <w:left w:val="single" w:sz="32" w:space="14"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spacing w:before="160" w:after="40" w:line="276" w:lineRule="auto"/>
        <w:ind w:left="680" w:right="454"/>
        <w:pBdr>
          <w:left w:val="single" w:sz="32" w:space="14" w:color="7B1E1E"/>
        </w:pBdr>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keepNext/>
        <w:pageBreakBefore/>
        <w:pBdr>
          <w:bottom w:val="single" w:sz="6" w:space="6" w:color="C8A951"/>
        </w:pBdr>
        <w:spacing w:before="480" w:after="360" w:line="288" w:lineRule="auto"/>
        <w:ind w:firstLine="283"/>
        <w:jc w:val="center"/>
      </w:pPr>
      <w:r>
        <w:rPr>
          <w:rFonts w:ascii="Garamond" w:eastAsia="Arial" w:hAnsi="Garamond" w:cs="Arial"/>
          <w:b/>
          <w:bCs/>
          <w:color w:val="1A1A2E"/>
          <w:sz w:val="34"/>
          <w:szCs w:val="32"/>
        </w:rPr>
        <w:lastRenderedPageBreak/>
        <w:t>AVANT-PROPOS — Méthode et rigueur analytique</w:t>
      </w:r>
    </w:p>
    <w:p w14:paraId="54923CCE" w14:textId="77777777" w:rsidR="006E716F" w:rsidRDefault="00000000">
      <w:pPr>
        <w:spacing w:after="120" w:line="312" w:lineRule="auto" w:before="40"/>
        <w:ind w:firstLine="283"/>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120" w:line="312" w:lineRule="auto" w:before="40"/>
        <w:ind w:firstLine="283"/>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120" w:line="312" w:lineRule="auto" w:before="40"/>
        <w:ind w:firstLine="283"/>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spacing w:before="160" w:after="40" w:line="276" w:lineRule="auto"/>
        <w:ind w:left="680" w:right="454"/>
        <w:pBdr>
          <w:left w:val="single" w:sz="32" w:space="14" w:color="7B1E1E"/>
        </w:pBdr>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keepNext/>
        <w:pageBreakBefore/>
        <w:pBdr>
          <w:bottom w:val="single" w:sz="6" w:space="6" w:color="C8A951"/>
        </w:pBdr>
        <w:spacing w:before="480" w:after="360" w:line="288" w:lineRule="auto"/>
        <w:jc w:val="center"/>
      </w:pPr>
      <w:r>
        <w:rPr>
          <w:rFonts w:ascii="Garamond" w:eastAsia="Arial" w:hAnsi="Garamond" w:cs="Arial"/>
          <w:b/>
          <w:bCs/>
          <w:color w:val="1A1A2E"/>
          <w:sz w:val="34"/>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80" w:before="240"/>
        <w:ind w:left="0" w:firstLine="0"/>
        <w:rPr>
          <w:rFonts w:ascii="Garamond" w:hAnsi="Garamond"/>
        </w:rPr>
      </w:pPr>
      <w:r>
        <w:rPr>
          <w:rFonts w:ascii="Garamond" w:hAnsi="Garamond"/>
          <w:b/>
          <w:iCs/>
        </w:rPr>
        <w:t>AVANT-PROPOS</w:t>
      </w:r>
      <w:r>
        <w:rPr>
          <w:rFonts w:ascii="Garamond" w:hAnsi="Garamond"/>
          <w:b/>
          <w:i/>
        </w:rPr>
        <w:t xml:space="preserve"> — Méthode et rigueur analytique</w:t>
      </w:r>
    </w:p>
    <w:p w14:paraId="687780C1" w14:textId="77777777" w:rsidR="00124B22" w:rsidRPr="00F01E86" w:rsidRDefault="00000000">
      <w:pPr>
        <w:spacing w:after="80" w:before="240"/>
        <w:ind w:left="0" w:firstLine="0"/>
        <w:rPr>
          <w:rFonts w:ascii="Garamond" w:hAnsi="Garamond"/>
        </w:rPr>
      </w:pPr>
      <w:r>
        <w:rPr>
          <w:rFonts w:ascii="Garamond" w:hAnsi="Garamond"/>
          <w:b/>
          <w:iCs/>
        </w:rPr>
        <w:t xml:space="preserve">PROLOGUE </w:t>
      </w:r>
      <w:r>
        <w:rPr>
          <w:rFonts w:ascii="Garamond" w:hAnsi="Garamond"/>
          <w:b/>
          <w:i/>
        </w:rPr>
        <w:t>— La villa de Niamey</w:t>
      </w:r>
    </w:p>
    <w:p w14:paraId="4B935264" w14:textId="77777777" w:rsidR="00124B22" w:rsidRPr="00F01E86" w:rsidRDefault="00000000">
      <w:pPr>
        <w:spacing w:after="80" w:before="240"/>
        <w:ind w:left="0" w:firstLine="0"/>
        <w:rPr>
          <w:rFonts w:ascii="Garamond" w:hAnsi="Garamond"/>
        </w:rPr>
      </w:pPr>
      <w:r>
        <w:rPr>
          <w:rFonts w:ascii="Garamond" w:hAnsi="Garamond"/>
          <w:b/>
          <w:iCs/>
        </w:rPr>
        <w:t>INTRODUCTION</w:t>
      </w:r>
      <w:r>
        <w:rPr>
          <w:rFonts w:ascii="Garamond" w:hAnsi="Garamond"/>
          <w:b/>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before="240"/>
        <w:ind w:left="0" w:firstLine="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0" w:before="60"/>
        <w:ind w:left="850" w:firstLine="0"/>
        <w:rPr>
          <w:rFonts w:ascii="Garamond" w:hAnsi="Garamond"/>
        </w:rPr>
      </w:pPr>
      <w:r>
        <w:rPr>
          <w:rFonts w:ascii="Garamond" w:hAnsi="Garamond"/>
          <w:b w:val="0"/>
        </w:rPr>
        <w:t xml:space="preserve">    Chapitre 1 — Les empires africains précoloniaux</w:t>
      </w:r>
    </w:p>
    <w:p w14:paraId="721D2D2D" w14:textId="77777777" w:rsidR="00124B22" w:rsidRPr="00F01E86" w:rsidRDefault="00000000">
      <w:pPr>
        <w:spacing w:after="0" w:before="60"/>
        <w:ind w:left="850" w:firstLine="0"/>
        <w:rPr>
          <w:rFonts w:ascii="Garamond" w:hAnsi="Garamond"/>
        </w:rPr>
      </w:pPr>
      <w:r>
        <w:rPr>
          <w:rFonts w:ascii="Garamond" w:hAnsi="Garamond"/>
          <w:b w:val="0"/>
        </w:rPr>
        <w:t xml:space="preserve">    Chapitre 2 — La conquête coloniale et ses résistances</w:t>
      </w:r>
    </w:p>
    <w:p w14:paraId="645B01D2" w14:textId="77777777" w:rsidR="00124B22" w:rsidRPr="00F01E86" w:rsidRDefault="00000000">
      <w:pPr>
        <w:spacing w:after="0" w:before="60"/>
        <w:ind w:left="850" w:firstLine="0"/>
        <w:rPr>
          <w:rFonts w:ascii="Garamond" w:hAnsi="Garamond"/>
        </w:rPr>
      </w:pPr>
      <w:r>
        <w:rPr>
          <w:rFonts w:ascii="Garamond" w:hAnsi="Garamond"/>
          <w:b w:val="0"/>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before="240"/>
        <w:ind w:left="0" w:firstLine="0"/>
        <w:rPr>
          <w:rFonts w:ascii="Garamond" w:hAnsi="Garamond"/>
        </w:rPr>
      </w:pPr>
      <w:r>
        <w:rPr>
          <w:rFonts w:ascii="Garamond" w:hAnsi="Garamond"/>
          <w:b/>
          <w:bCs/>
          <w:sz w:val="22"/>
        </w:rPr>
        <w:t>PARTIE II — L'EMPIRE DU MENSONGE</w:t>
      </w:r>
    </w:p>
    <w:p w14:paraId="7D8FFAFB" w14:textId="77777777" w:rsidR="00124B22" w:rsidRPr="00F01E86" w:rsidRDefault="00000000">
      <w:pPr>
        <w:spacing w:after="0" w:before="60"/>
        <w:ind w:left="850" w:firstLine="0"/>
        <w:rPr>
          <w:rFonts w:ascii="Garamond" w:hAnsi="Garamond"/>
        </w:rPr>
      </w:pPr>
      <w:r>
        <w:rPr>
          <w:rFonts w:ascii="Garamond" w:hAnsi="Garamond"/>
          <w:b w:val="0"/>
        </w:rPr>
        <w:t xml:space="preserve">    Chapitre 4 — Le pacte colonial camouflé</w:t>
      </w:r>
    </w:p>
    <w:p w14:paraId="179C790E" w14:textId="77777777" w:rsidR="00124B22" w:rsidRPr="00F01E86" w:rsidRDefault="00000000">
      <w:pPr>
        <w:spacing w:after="0" w:before="60"/>
        <w:ind w:left="850" w:firstLine="0"/>
        <w:rPr>
          <w:rFonts w:ascii="Garamond" w:hAnsi="Garamond"/>
        </w:rPr>
      </w:pPr>
      <w:r>
        <w:rPr>
          <w:rFonts w:ascii="Garamond" w:hAnsi="Garamond"/>
          <w:b w:val="0"/>
        </w:rPr>
        <w:t xml:space="preserve">    Chapitre 4b — La chaîne du pillage : Elf, les mallettes et les tribunaux</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    Chapitre 5 — La machine extractive : CFA, uranium, or, pétrole</w:t>
      </w:r>
    </w:p>
    <w:p w14:paraId="68DCC9F4" w14:textId="77777777" w:rsidR="00124B22" w:rsidRPr="00F01E86" w:rsidRDefault="00000000">
      <w:pPr>
        <w:spacing w:after="0" w:before="60"/>
        <w:ind w:left="850" w:firstLine="0"/>
        <w:rPr>
          <w:rFonts w:ascii="Garamond" w:hAnsi="Garamond"/>
        </w:rPr>
      </w:pPr>
      <w:r>
        <w:rPr>
          <w:rFonts w:ascii="Garamond" w:hAnsi="Garamond"/>
          <w:b w:val="0"/>
        </w:rPr>
        <w:t xml:space="preserve">Chapitre 5b — Décolonisation économique : nationalisation, protectionnisme et la sortie du franc CFA</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    Chapitre 6 — L'aide publique au développement : arnaque documentée</w:t>
      </w:r>
    </w:p>
    <w:p w14:paraId="793C747F" w14:textId="77777777" w:rsidR="00124B22" w:rsidRPr="00F01E86" w:rsidRDefault="00000000">
      <w:pPr>
        <w:spacing w:after="0" w:before="60"/>
        <w:ind w:left="850" w:firstLine="0"/>
        <w:rPr>
          <w:rFonts w:ascii="Garamond" w:hAnsi="Garamond"/>
        </w:rPr>
      </w:pPr>
      <w:r>
        <w:rPr>
          <w:rFonts w:ascii="Garamond" w:hAnsi="Garamond"/>
          <w:b w:val="0"/>
        </w:rPr>
        <w:t xml:space="preserve">Chapitre 6b — Le FMI, la Banque mondiale et les assassins financiers</w:t>
      </w:r>
    </w:p>
    <w:p w14:paraId="1F4E2AB1" w14:textId="77777777" w:rsidR="00124B22" w:rsidRPr="00F01E86" w:rsidRDefault="00000000">
      <w:pPr>
        <w:spacing w:after="0" w:before="60"/>
        <w:ind w:left="850" w:firstLine="0"/>
        <w:rPr>
          <w:rFonts w:ascii="Garamond" w:hAnsi="Garamond"/>
        </w:rPr>
      </w:pPr>
      <w:r>
        <w:rPr>
          <w:rFonts w:ascii="Garamond" w:hAnsi="Garamond"/>
          <w:b w:val="0"/>
        </w:rPr>
        <w:t xml:space="preserve">    Chapitre 7 — Barkhane ou la guerre comme service après-vente</w:t>
      </w:r>
    </w:p>
    <w:p w14:paraId="14C89A33" w14:textId="77777777" w:rsidR="00124B22" w:rsidRPr="00F01E86" w:rsidRDefault="00000000">
      <w:pPr>
        <w:spacing w:after="0" w:before="60"/>
        <w:ind w:left="850" w:firstLine="0"/>
        <w:rPr>
          <w:rFonts w:ascii="Garamond" w:hAnsi="Garamond"/>
        </w:rPr>
      </w:pPr>
      <w:r>
        <w:rPr>
          <w:rFonts w:ascii="Garamond" w:hAnsi="Garamond"/>
          <w:b w:val="0"/>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before="240"/>
        <w:ind w:left="0" w:firstLine="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0" w:before="60"/>
        <w:ind w:left="850" w:firstLine="0"/>
        <w:rPr>
          <w:rFonts w:ascii="Garamond" w:hAnsi="Garamond"/>
        </w:rPr>
      </w:pPr>
      <w:r>
        <w:rPr>
          <w:rFonts w:ascii="Garamond" w:hAnsi="Garamond"/>
          <w:b w:val="0"/>
        </w:rPr>
        <w:t xml:space="preserve">    Chapitre 9 — Les aveux institutionnels français</w:t>
      </w:r>
    </w:p>
    <w:p w14:paraId="4946DCD8" w14:textId="77777777" w:rsidR="00124B22" w:rsidRPr="00F01E86" w:rsidRDefault="00000000">
      <w:pPr>
        <w:spacing w:after="0" w:before="60"/>
        <w:ind w:left="850" w:firstLine="0"/>
        <w:rPr>
          <w:rFonts w:ascii="Garamond" w:hAnsi="Garamond"/>
        </w:rPr>
      </w:pPr>
      <w:r>
        <w:rPr>
          <w:rFonts w:ascii="Garamond" w:hAnsi="Garamond"/>
          <w:b w:val="0"/>
        </w:rPr>
        <w:t xml:space="preserve">    Chapitre 10 — La doctrine de propagande : aveu d'Anne-Sophie Avé</w:t>
      </w:r>
    </w:p>
    <w:p w14:paraId="3E93364A" w14:textId="77777777" w:rsidR="00124B22" w:rsidRPr="00F01E86" w:rsidRDefault="00000000">
      <w:pPr>
        <w:spacing w:after="0" w:before="60"/>
        <w:ind w:left="850" w:firstLine="0"/>
        <w:rPr>
          <w:rFonts w:ascii="Garamond" w:hAnsi="Garamond"/>
        </w:rPr>
      </w:pPr>
      <w:r>
        <w:rPr>
          <w:rFonts w:ascii="Garamond" w:hAnsi="Garamond"/>
          <w:b w:val="0"/>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before="240"/>
        <w:ind w:left="0" w:firstLine="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0" w:before="60"/>
        <w:ind w:left="850" w:firstLine="0"/>
        <w:rPr>
          <w:rFonts w:ascii="Garamond" w:hAnsi="Garamond"/>
        </w:rPr>
      </w:pPr>
      <w:r>
        <w:rPr>
          <w:rFonts w:ascii="Garamond" w:hAnsi="Garamond"/>
          <w:b w:val="0"/>
        </w:rPr>
        <w:t xml:space="preserve">    Chapitre 12 — La CEDEAO comme instrument</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    Chapitre 13 — Les élites compradore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13b — Impérialisme, nazisme et la mécanique de la division africaine</w:t>
      </w:r>
    </w:p>
    <w:p w14:paraId="3A3AA4C1" w14:textId="77777777" w:rsidR="00124B22" w:rsidRPr="00F01E86" w:rsidRDefault="00000000">
      <w:pPr>
        <w:spacing w:after="0" w:before="60"/>
        <w:ind w:left="850" w:firstLine="0"/>
        <w:rPr>
          <w:rFonts w:ascii="Garamond" w:hAnsi="Garamond"/>
        </w:rPr>
      </w:pPr>
      <w:r>
        <w:rPr>
          <w:rFonts w:ascii="Garamond" w:hAnsi="Garamond"/>
          <w:b w:val="0"/>
        </w:rPr>
        <w:t xml:space="preserve">Chapitre 13c — Ouattara, Compaoré, Mobutu : portraits de la trahison instrumentalisée</w:t>
      </w:r>
    </w:p>
    <w:p w14:paraId="3A3AA4C1" w14:textId="77777777" w:rsidR="00124B22" w:rsidRPr="00F01E86" w:rsidRDefault="00000000">
      <w:pPr>
        <w:spacing w:after="0" w:before="60"/>
        <w:ind w:left="850" w:firstLine="0"/>
        <w:rPr>
          <w:rFonts w:ascii="Garamond" w:hAnsi="Garamond"/>
        </w:rPr>
      </w:pPr>
      <w:r>
        <w:rPr>
          <w:rFonts w:ascii="Garamond" w:hAnsi="Garamond"/>
          <w:b w:val="0"/>
        </w:rPr>
        <w:t>Chapitre 13d — L'audio du 17 février 2022 : Ouattara et Boubou Cissé en flagrant délit de complot</w:t>
      </w:r>
    </w:p>
    <w:p w14:paraId="76CF4FAF" w14:textId="77777777" w:rsidR="00124B22" w:rsidRPr="00F01E86" w:rsidRDefault="00000000">
      <w:pPr>
        <w:spacing w:after="0" w:before="60"/>
        <w:ind w:left="850" w:firstLine="0"/>
        <w:rPr>
          <w:rFonts w:ascii="Garamond" w:hAnsi="Garamond"/>
        </w:rPr>
      </w:pPr>
      <w:r>
        <w:rPr>
          <w:rFonts w:ascii="Garamond" w:hAnsi="Garamond"/>
          <w:b w:val="0"/>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before="240"/>
        <w:ind w:left="0" w:firstLine="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0" w:before="60"/>
        <w:ind w:left="850" w:firstLine="0"/>
        <w:rPr>
          <w:rFonts w:ascii="Garamond" w:hAnsi="Garamond"/>
        </w:rPr>
      </w:pPr>
      <w:r>
        <w:rPr>
          <w:rFonts w:ascii="Garamond" w:hAnsi="Garamond"/>
          <w:b w:val="0"/>
        </w:rPr>
        <w:t xml:space="preserve">    Chapitre 15 — La fabrique du terrorisme au Sahel</w:t>
      </w:r>
    </w:p>
    <w:p w14:paraId="0781133E" w14:textId="77777777" w:rsidR="00124B22" w:rsidRPr="00F01E86" w:rsidRDefault="00000000">
      <w:pPr>
        <w:spacing w:after="0" w:before="60"/>
        <w:ind w:left="850" w:firstLine="0"/>
        <w:rPr>
          <w:rFonts w:ascii="Garamond" w:hAnsi="Garamond"/>
        </w:rPr>
      </w:pPr>
      <w:r>
        <w:rPr>
          <w:rFonts w:ascii="Garamond" w:hAnsi="Garamond"/>
          <w:b w:val="0"/>
        </w:rPr>
        <w:t xml:space="preserve">    Chapitre 16 — Mali : la première rupture</w:t>
      </w:r>
    </w:p>
    <w:p w14:paraId="7DCBEDFD" w14:textId="77777777" w:rsidR="00124B22" w:rsidRPr="00F01E86" w:rsidRDefault="00000000">
      <w:pPr>
        <w:spacing w:after="0" w:before="60"/>
        <w:ind w:left="850" w:firstLine="0"/>
        <w:rPr>
          <w:rFonts w:ascii="Garamond" w:hAnsi="Garamond"/>
        </w:rPr>
      </w:pPr>
      <w:r>
        <w:rPr>
          <w:rFonts w:ascii="Garamond" w:hAnsi="Garamond"/>
          <w:b w:val="0"/>
        </w:rPr>
        <w:t xml:space="preserve">    Chapitre 17 — Burkina Faso : le MPSR et la doctrine Traoré</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    Chapitre 18 — Niger : le CNSP et le verrou final</w:t>
      </w:r>
    </w:p>
    <w:p w14:paraId="1375F328" w14:textId="77777777" w:rsidR="00124B22" w:rsidRPr="00F01E86" w:rsidRDefault="00000000">
      <w:pPr>
        <w:spacing w:after="0" w:before="60"/>
        <w:ind w:left="850" w:firstLine="0"/>
        <w:rPr>
          <w:rFonts w:ascii="Garamond" w:hAnsi="Garamond"/>
        </w:rPr>
      </w:pPr>
      <w:r>
        <w:rPr>
          <w:rFonts w:ascii="Garamond" w:hAnsi="Garamond"/>
          <w:b w:val="0"/>
        </w:rPr>
        <w:lastRenderedPageBreak/>
        <w:t xml:space="preserve">Chapitre 18b — La base d'Agadez : un accord imposé sans le consentement du Niger</w:t>
      </w:r>
    </w:p>
    <w:p w14:paraId="2EFDFCE8" w14:textId="77777777" w:rsidR="00124B22" w:rsidRPr="00F01E86" w:rsidRDefault="00000000">
      <w:pPr>
        <w:spacing w:after="0" w:before="60"/>
        <w:ind w:left="850" w:firstLine="0"/>
        <w:rPr>
          <w:rFonts w:ascii="Garamond" w:hAnsi="Garamond"/>
        </w:rPr>
      </w:pPr>
      <w:r>
        <w:rPr>
          <w:rFonts w:ascii="Garamond" w:hAnsi="Garamond"/>
          <w:b w:val="0"/>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before="240"/>
        <w:ind w:left="0" w:firstLine="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0" w:before="60"/>
        <w:ind w:left="850" w:firstLine="0"/>
        <w:rPr>
          <w:rFonts w:ascii="Garamond" w:hAnsi="Garamond"/>
        </w:rPr>
      </w:pPr>
      <w:r>
        <w:rPr>
          <w:rFonts w:ascii="Garamond" w:hAnsi="Garamond"/>
          <w:b w:val="0"/>
        </w:rPr>
        <w:t xml:space="preserve">    Chapitre 20 — Le Tchad : Mahamat Déby entre deux feux</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    Chapitre 21 — L'Algérie : médiateur ambigu</w:t>
      </w:r>
    </w:p>
    <w:p w14:paraId="56C82684" w14:textId="77777777" w:rsidR="00124B22" w:rsidRPr="00F01E86" w:rsidRDefault="00000000">
      <w:pPr>
        <w:spacing w:after="0" w:before="60"/>
        <w:ind w:left="850" w:firstLine="0"/>
        <w:rPr>
          <w:rFonts w:ascii="Garamond" w:hAnsi="Garamond"/>
        </w:rPr>
      </w:pPr>
      <w:r>
        <w:rPr>
          <w:rFonts w:ascii="Garamond" w:hAnsi="Garamond"/>
          <w:b w:val="0"/>
        </w:rPr>
        <w:t xml:space="preserve">Chapitre 21b — L'Algérie et le Mali : de la fraternité anticoloniale à la trahison</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    Chapitre 22 — Russie, Chine, Turquie : partenaires ou nouveaux maîtres ?</w:t>
      </w:r>
    </w:p>
    <w:p w14:paraId="577A8AFD" w14:textId="387A056D" w:rsidR="00124B22" w:rsidRPr="00F01E86" w:rsidRDefault="00000000">
      <w:pPr>
        <w:spacing w:after="0" w:before="60"/>
        <w:ind w:left="850" w:firstLine="0"/>
        <w:rPr>
          <w:rFonts w:ascii="Garamond" w:hAnsi="Garamond"/>
        </w:rPr>
      </w:pPr>
      <w:r>
        <w:rPr>
          <w:rFonts w:ascii="Garamond" w:hAnsi="Garamond"/>
          <w:b w:val="0"/>
        </w:rPr>
        <w:t xml:space="preserve">Chapitre 22b — La Turquie et le Sahel : Erdoğan, les Bayraktar et la diplomatie du partenaire non-colonial</w:t>
      </w:r>
    </w:p>
    <w:p w14:paraId="1333017A" w14:textId="77777777" w:rsidR="00124B22" w:rsidRPr="00F01E86" w:rsidRDefault="00000000">
      <w:pPr>
        <w:spacing w:after="0" w:before="60"/>
        <w:ind w:left="850" w:firstLine="0"/>
        <w:rPr>
          <w:rFonts w:ascii="Garamond" w:hAnsi="Garamond"/>
        </w:rPr>
      </w:pPr>
      <w:r>
        <w:rPr>
          <w:rFonts w:ascii="Garamond" w:hAnsi="Garamond"/>
          <w:b w:val="0"/>
        </w:rPr>
        <w:t xml:space="preserve">    Chapitre 23 — Les États-Unis face à la recomposition</w:t>
      </w:r>
    </w:p>
    <w:p w14:paraId="26CC5893" w14:textId="77777777" w:rsidR="00124B22" w:rsidRPr="00F01E86" w:rsidRDefault="00000000">
      <w:pPr>
        <w:spacing w:after="0" w:before="60"/>
        <w:ind w:left="850" w:firstLine="0"/>
        <w:rPr>
          <w:rFonts w:ascii="Garamond" w:hAnsi="Garamond"/>
        </w:rPr>
      </w:pPr>
      <w:r>
        <w:rPr>
          <w:rFonts w:ascii="Garamond" w:hAnsi="Garamond"/>
          <w:b w:val="0"/>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before="240"/>
        <w:ind w:left="0" w:firstLine="0"/>
        <w:rPr>
          <w:rFonts w:ascii="Garamond" w:hAnsi="Garamond"/>
        </w:rPr>
      </w:pPr>
      <w:r>
        <w:rPr>
          <w:rFonts w:ascii="Garamond" w:hAnsi="Garamond"/>
          <w:b/>
          <w:bCs/>
          <w:sz w:val="22"/>
        </w:rPr>
        <w:t>PARTIE VII — LA GUERRE PROXY</w:t>
      </w:r>
    </w:p>
    <w:p w14:paraId="73C966F9" w14:textId="77777777" w:rsidR="00124B22" w:rsidRPr="00F01E86" w:rsidRDefault="00000000">
      <w:pPr>
        <w:spacing w:after="0" w:before="60"/>
        <w:ind w:left="850" w:firstLine="0"/>
        <w:rPr>
          <w:rFonts w:ascii="Garamond" w:hAnsi="Garamond"/>
        </w:rPr>
      </w:pPr>
      <w:r>
        <w:rPr>
          <w:rFonts w:ascii="Garamond" w:hAnsi="Garamond"/>
          <w:b w:val="0"/>
        </w:rPr>
        <w:t xml:space="preserve">    Chapitre 25 — L'armée fantôme de Paris</w:t>
      </w:r>
    </w:p>
    <w:p w14:paraId="10805B24" w14:textId="3C2EFA98" w:rsidR="00124B22" w:rsidRPr="00F01E86" w:rsidRDefault="00000000">
      <w:pPr>
        <w:spacing w:after="0" w:before="60"/>
        <w:ind w:left="850" w:firstLine="0"/>
        <w:rPr>
          <w:rFonts w:ascii="Garamond" w:hAnsi="Garamond"/>
        </w:rPr>
      </w:pPr>
      <w:r>
        <w:rPr>
          <w:rFonts w:ascii="Garamond" w:hAnsi="Garamond"/>
          <w:b w:val="0"/>
        </w:rPr>
        <w:t xml:space="preserve">    Chapitre 25b — Le renseignement comme arme de guerre : barbouzes, ESSD et guerre secrète en Afrique</w:t>
      </w:r>
    </w:p>
    <w:p w14:paraId="0EE00001" w14:textId="0CF6D0E4"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25c — Les ONG : le visage charitable de la guerre</w:t>
      </w:r>
    </w:p>
    <w:p w14:paraId="0EE00002" w14:textId="0B76F85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25d — La CPI : justice universelle ou justice à sens unique ?</w:t>
      </w:r>
    </w:p>
    <w:p w14:paraId="0EE00003" w14:textId="70CB5D6A" w:rsidR="0028409C" w:rsidRDefault="00156718" w:rsidP="00156718">
      <w:pPr>
        <w:spacing w:after="0" w:before="60"/>
        <w:ind w:left="850" w:firstLine="0"/>
      </w:pPr>
      <w:r>
        <w:rPr>
          <w:rFonts w:ascii="Garamond" w:hAnsi="Garamond"/>
          <w:b w:val="0"/>
        </w:rPr>
        <w:t xml:space="preserve">           Chapitre 25e — La diaspora en guerre : du vecteur d’influence au front de résistance</w:t>
      </w:r>
      <w:r w:rsidR="00000000">
        <w:rPr>
          <w:rFonts w:ascii="Garamond" w:hAnsi="Garamond"/>
          <w:b w:val="0"/>
        </w:rPr>
      </w:r>
    </w:p>
    <w:p w14:paraId="0EE00004" w14:textId="243F8942" w:rsidR="0028409C" w:rsidRDefault="00156718" w:rsidP="00156718">
      <w:pPr>
        <w:spacing w:after="0" w:before="60"/>
        <w:ind w:left="850" w:firstLine="0"/>
      </w:pPr>
      <w:r>
        <w:rPr>
          <w:rFonts w:ascii="Garamond" w:hAnsi="Garamond"/>
          <w:b w:val="0"/>
        </w:rPr>
        <w:t>Chapitre 25f — Dieu comme terrain de guerre : le religieux dans la stratégie de domination</w:t>
      </w:r>
      <w:r w:rsidR="00000000">
        <w:rPr>
          <w:rFonts w:ascii="Garamond" w:hAnsi="Garamond"/>
          <w:b w:val="0"/>
        </w:rPr>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    Chapitre 26 — Sadio Camara : de l'architecte à la cible</w:t>
      </w:r>
    </w:p>
    <w:p w14:paraId="27353126" w14:textId="77777777" w:rsidR="00124B22" w:rsidRPr="00F01E86" w:rsidRDefault="00000000">
      <w:pPr>
        <w:spacing w:after="0" w:before="60"/>
        <w:ind w:left="850" w:firstLine="0"/>
        <w:rPr>
          <w:rFonts w:ascii="Garamond" w:hAnsi="Garamond"/>
        </w:rPr>
      </w:pPr>
      <w:r>
        <w:rPr>
          <w:rFonts w:ascii="Garamond" w:hAnsi="Garamond"/>
          <w:b w:val="0"/>
        </w:rPr>
        <w:t xml:space="preserve">Chapitre 26b — Tinzawaten : l'Ukraine comme plateforme de la guerre proxy au Sahel</w:t>
      </w:r>
    </w:p>
    <w:p w14:paraId="3EAB33B4" w14:textId="77777777" w:rsidR="00124B22" w:rsidRPr="00F01E86" w:rsidRDefault="00000000">
      <w:pPr>
        <w:spacing w:after="0" w:before="60"/>
        <w:ind w:left="850" w:firstLine="0"/>
        <w:rPr>
          <w:rFonts w:ascii="Garamond" w:hAnsi="Garamond"/>
        </w:rPr>
      </w:pPr>
      <w:r>
        <w:rPr>
          <w:rFonts w:ascii="Garamond" w:hAnsi="Garamond"/>
          <w:b w:val="0"/>
        </w:rPr>
        <w:t xml:space="preserve">    Chapitre 27 — Les attaques du 25 avril 2026</w:t>
      </w:r>
    </w:p>
    <w:p w14:paraId="48EB635F" w14:textId="77777777" w:rsidR="00124B22" w:rsidRPr="00F01E86" w:rsidRDefault="00000000">
      <w:pPr>
        <w:spacing w:after="0" w:before="60"/>
        <w:ind w:left="850" w:firstLine="0"/>
        <w:rPr>
          <w:rFonts w:ascii="Garamond" w:hAnsi="Garamond"/>
        </w:rPr>
      </w:pPr>
      <w:r>
        <w:rPr>
          <w:rFonts w:ascii="Garamond" w:hAnsi="Garamond"/>
          <w:b w:val="0"/>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before="240"/>
        <w:ind w:left="0" w:firstLine="0"/>
        <w:rPr>
          <w:rFonts w:ascii="Garamond" w:hAnsi="Garamond"/>
        </w:rPr>
      </w:pPr>
      <w:r>
        <w:rPr>
          <w:rFonts w:ascii="Garamond" w:hAnsi="Garamond"/>
          <w:b/>
          <w:bCs/>
          <w:sz w:val="22"/>
        </w:rPr>
        <w:t>PARTIE VIII — LES DÉFIS INTERNES DE L'AES</w:t>
      </w:r>
    </w:p>
    <w:p>
      <w:pPr>
        <w:spacing w:after="0" w:before="60"/>
        <w:ind w:left="850" w:firstLine="0"/>
      </w:pPr>
      <w:r>
        <w:rPr>
          <w:rFonts w:ascii="Garamond" w:hAnsi="Garamond"/>
          <w:b w:val="0"/>
        </w:rPr>
        <w:t>Chapitre 28b — L'Affaire Vésilier : Quand la Justice Africaine Tient Bon</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    Chapitre 29 — La menace jihadiste persistante</w:t>
      </w:r>
    </w:p>
    <w:p w14:paraId="56434F7D" w14:textId="77777777" w:rsidR="00124B22" w:rsidRPr="00F01E86" w:rsidRDefault="00000000">
      <w:pPr>
        <w:spacing w:after="0" w:before="60"/>
        <w:ind w:left="850" w:firstLine="0"/>
        <w:rPr>
          <w:rFonts w:ascii="Garamond" w:hAnsi="Garamond"/>
        </w:rPr>
      </w:pPr>
      <w:r>
        <w:rPr>
          <w:rFonts w:ascii="Garamond" w:hAnsi="Garamond"/>
          <w:b w:val="0"/>
        </w:rPr>
        <w:t xml:space="preserve">Chapitre 29b — La vraie question démocratique dans l'AES : légitimité, institutions et infiltration</w:t>
      </w:r>
    </w:p>
    <w:p/>
    <w:p>
      <w:pPr>
        <w:pStyle w:val="Normal"/>
        <w:spacing w:before="60" w:after="0"/>
        <w:ind w:left="850" w:firstLine="0"/>
      </w:pPr>
      <w:r>
        <w:rPr>
          <w:b w:val="0"/>
        </w:rPr>
        <w:t xml:space="preserve">    Chapitre 30 — Bazoum sans le savoir : les aveux involontaires du dernier compradore</w:t>
      </w:r>
    </w:p>
    <w:p w14:paraId="0557B437" w14:textId="77777777" w:rsidR="00124B22" w:rsidRPr="00F01E86" w:rsidRDefault="00000000">
      <w:pPr>
        <w:spacing w:after="0" w:before="60"/>
        <w:ind w:left="850" w:firstLine="0"/>
        <w:rPr>
          <w:rFonts w:ascii="Garamond" w:hAnsi="Garamond"/>
        </w:rPr>
      </w:pPr>
      <w:r>
        <w:rPr>
          <w:rFonts w:ascii="Garamond" w:hAnsi="Garamond"/>
          <w:b w:val="0"/>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before="240"/>
        <w:ind w:left="0" w:firstLine="0"/>
        <w:rPr>
          <w:rFonts w:ascii="Garamond" w:hAnsi="Garamond"/>
        </w:rPr>
      </w:pPr>
      <w:r>
        <w:rPr>
          <w:rFonts w:ascii="Garamond" w:hAnsi="Garamond"/>
          <w:b/>
          <w:bCs/>
          <w:sz w:val="22"/>
        </w:rPr>
        <w:t>PARTIE IX — L'HORIZON SOUVERAIN</w:t>
      </w:r>
    </w:p>
    <w:p w14:paraId="00320000" w14:textId="77777777" w:rsidR="0028409C" w:rsidRDefault="00000000">
      <w:pPr>
        <w:spacing w:after="0" w:before="60"/>
        <w:ind w:left="850" w:firstLine="0"/>
        <w:rPr>
          <w:rFonts w:ascii="Garamond" w:hAnsi="Garamond"/>
        </w:rPr>
      </w:pPr>
      <w:r>
        <w:rPr>
          <w:rFonts w:ascii="Garamond" w:hAnsi="Garamond"/>
          <w:b w:val="0"/>
        </w:rPr>
        <w:t xml:space="preserve">    Chapitre 32 — Les morts de Barkhane : autopsie d’un mensonge d’État</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    Chapitre 33 — La monnaie : briser la chaîne du CFA</w:t>
      </w:r>
    </w:p>
    <w:p w14:paraId="4D24DD7C" w14:textId="77777777" w:rsidR="00124B22" w:rsidRPr="00F01E86" w:rsidRDefault="00000000">
      <w:pPr>
        <w:spacing w:after="0" w:before="60"/>
        <w:ind w:left="850" w:firstLine="0"/>
        <w:rPr>
          <w:rFonts w:ascii="Garamond" w:hAnsi="Garamond"/>
        </w:rPr>
      </w:pPr>
      <w:r>
        <w:rPr>
          <w:rFonts w:ascii="Garamond" w:hAnsi="Garamond"/>
          <w:b w:val="0"/>
        </w:rPr>
        <w:t xml:space="preserve">Chapitre 33b — La RCA et le Sango : le bitcoin comme arme de souveraineté monétaire</w:t>
      </w:r>
    </w:p>
    <w:p w14:paraId="1A51B8CA" w14:textId="77777777" w:rsidR="00124B22" w:rsidRPr="00F01E86" w:rsidRDefault="00000000">
      <w:pPr>
        <w:spacing w:after="0" w:before="60"/>
        <w:ind w:left="850" w:firstLine="0"/>
        <w:rPr>
          <w:rFonts w:ascii="Garamond" w:hAnsi="Garamond"/>
        </w:rPr>
      </w:pPr>
      <w:r>
        <w:rPr>
          <w:rFonts w:ascii="Garamond" w:hAnsi="Garamond"/>
          <w:b w:val="0"/>
        </w:rPr>
        <w:t xml:space="preserve">    Chapitre 34 — L'armée fédérale sahélienne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    Chapitre 35 — La diaspora comme force stratégique</w:t>
      </w:r>
    </w:p>
    <w:p w14:paraId="4C2ACF96" w14:textId="77777777" w:rsidR="00124B22" w:rsidRPr="00F01E86" w:rsidRDefault="00000000">
      <w:pPr>
        <w:spacing w:after="0" w:before="60"/>
        <w:ind w:left="850" w:firstLine="0"/>
        <w:rPr>
          <w:rFonts w:ascii="Garamond" w:hAnsi="Garamond"/>
        </w:rPr>
      </w:pPr>
      <w:r>
        <w:rPr>
          <w:rFonts w:ascii="Garamond" w:hAnsi="Garamond"/>
          <w:b w:val="0"/>
        </w:rPr>
        <w:t xml:space="preserve">Chapitre 35b — L'éducation comme arme de souveraineté</w:t>
      </w:r>
    </w:p>
    <w:p w14:paraId="216A7BCB" w14:textId="77777777" w:rsidR="00124B22" w:rsidRPr="00F01E86" w:rsidRDefault="00000000">
      <w:pPr>
        <w:spacing w:after="0" w:before="60"/>
        <w:ind w:left="850" w:firstLine="0"/>
        <w:rPr>
          <w:rFonts w:ascii="Garamond" w:hAnsi="Garamond"/>
        </w:rPr>
      </w:pPr>
      <w:r>
        <w:rPr>
          <w:rFonts w:ascii="Garamond" w:hAnsi="Garamond"/>
          <w:b w:val="0"/>
        </w:rPr>
        <w:t xml:space="preserve">    Chapitre 36 — Sankara avait raison</w:t>
      </w:r>
    </w:p>
    <w:p w14:paraId="0D1BED78" w14:textId="77777777" w:rsidR="00124B22" w:rsidRPr="00F01E86" w:rsidRDefault="00000000">
      <w:pPr>
        <w:spacing w:after="0" w:before="60"/>
        <w:ind w:left="850" w:firstLine="0"/>
        <w:rPr>
          <w:rFonts w:ascii="Garamond" w:hAnsi="Garamond"/>
        </w:rPr>
      </w:pPr>
      <w:r>
        <w:rPr>
          <w:rFonts w:ascii="Garamond" w:hAnsi="Garamond"/>
          <w:b w:val="0"/>
        </w:rPr>
        <w:t xml:space="preserve">    Chapitre 37 — France-Afrique 2.0 : la recomposition de la domination</w:t>
      </w:r>
    </w:p>
    <w:p w14:paraId="0EE00005" w14:textId="6A21F62B" w:rsidR="0028409C" w:rsidRDefault="00156718" w:rsidP="00156718">
      <w:pPr>
        <w:spacing w:after="0" w:before="60"/>
        <w:ind w:left="850" w:firstLine="0"/>
      </w:pPr>
      <w:r>
        <w:rPr>
          <w:rFonts w:ascii="Garamond" w:hAnsi="Garamond"/>
          <w:b w:val="0"/>
        </w:rPr>
        <w:t xml:space="preserve">            </w:t>
      </w:r>
      <w:r w:rsidR="00000000">
        <w:rPr>
          <w:rFonts w:ascii="Garamond" w:hAnsi="Garamond"/>
          <w:b w:val="0"/>
        </w:rPr>
        <w:t>Chapitre 37b — La Francophonie : le dernier empire</w:t>
      </w:r>
    </w:p>
    <w:p w14:paraId="0371DC74" w14:textId="77777777" w:rsidR="00124B22" w:rsidRPr="00F01E86" w:rsidRDefault="00000000">
      <w:pPr>
        <w:spacing w:after="0" w:before="60"/>
        <w:ind w:left="850" w:firstLine="0"/>
        <w:rPr>
          <w:rFonts w:ascii="Garamond" w:hAnsi="Garamond"/>
        </w:rPr>
      </w:pPr>
      <w:r>
        <w:rPr>
          <w:rFonts w:ascii="Garamond" w:hAnsi="Garamond"/>
          <w:b w:val="0"/>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before="240"/>
        <w:ind w:left="0" w:firstLine="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0" w:before="60"/>
        <w:ind w:left="850" w:firstLine="0"/>
        <w:rPr>
          <w:rFonts w:ascii="Garamond" w:hAnsi="Garamond"/>
        </w:rPr>
      </w:pPr>
      <w:r>
        <w:rPr>
          <w:rFonts w:ascii="Garamond" w:hAnsi="Garamond"/>
          <w:b w:val="0"/>
        </w:rPr>
        <w:t xml:space="preserve">    Chapitre 40 — L'arrogance comme doctrine : le mépris occidental en Afrique</w:t>
      </w:r>
    </w:p>
    <w:p w14:paraId="17827C39" w14:textId="77777777" w:rsidR="00124B22" w:rsidRPr="00F01E86" w:rsidRDefault="00000000">
      <w:pPr>
        <w:spacing w:after="0" w:before="60"/>
        <w:ind w:left="850" w:firstLine="0"/>
        <w:rPr>
          <w:rFonts w:ascii="Garamond" w:hAnsi="Garamond"/>
        </w:rPr>
      </w:pPr>
      <w:r>
        <w:rPr>
          <w:rFonts w:ascii="Garamond" w:hAnsi="Garamond"/>
          <w:b w:val="0"/>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jc w:val="center"/>
        <w:rPr>
          <w:color w:val="943634" w:themeColor="accent2" w:themeShade="BF"/>
        </w:rPr>
      </w:pPr>
      <w:r w:rsidRPr="00DB2B9E">
        <w:rPr>
          <w:color w:val="7B1E1E"/>
        </w:rPr>
        <w:t>★ ★ ★</w:t>
      </w:r>
    </w:p>
    <w:p w14:paraId="14EBC48A" w14:textId="77777777" w:rsidR="00124B22" w:rsidRDefault="00124B22">
      <w:pPr>
        <w:spacing w:after="60"/>
      </w:pPr>
    </w:p>
    <w:p w14:paraId="33DF972F" w14:textId="77777777" w:rsidR="006E716F" w:rsidRDefault="00000000">
      <w:pPr>
        <w:keepNext/>
        <w:pageBreakBefore/>
        <w:spacing w:before="480" w:after="360" w:line="288" w:lineRule="auto"/>
        <w:jc w:val="center"/>
        <w:pBdr>
          <w:bottom w:val="single" w:sz="8" w:space="8" w:color="C8A951"/>
        </w:pBdr>
      </w:pPr>
      <w:r>
        <w:rPr>
          <w:rFonts w:ascii="Garamond" w:eastAsia="Arial" w:hAnsi="Garamond" w:cs="Arial"/>
          <w:b/>
          <w:bCs/>
          <w:color w:val="1A1A2E"/>
          <w:sz w:val="34"/>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keepNext/>
        <w:pageBreakBefore/>
        <w:spacing w:before="480" w:after="360" w:line="288" w:lineRule="auto"/>
        <w:jc w:val="center"/>
        <w:rPr>
          <w:color w:val="1A1A1A"/>
        </w:rPr>
        <w:pBdr>
          <w:bottom w:val="single" w:sz="8" w:space="8" w:color="C8A951"/>
        </w:pBdr>
      </w:pPr>
      <w:r>
        <w:rPr>
          <w:rFonts w:ascii="Garamond" w:eastAsia="Arial" w:hAnsi="Garamond" w:cs="Arial"/>
          <w:b/>
          <w:bCs/>
          <w:color w:val="1A1A2E"/>
          <w:sz w:val="34"/>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spacing w:before="160" w:after="40" w:line="276" w:lineRule="auto"/>
        <w:ind w:left="680" w:right="454"/>
        <w:pBdr>
          <w:left w:val="single" w:sz="32" w:space="14" w:color="7B1E1E"/>
        </w:pBdr>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jc w:val="center"/>
      </w:pPr>
      <w:bookmarkStart w:id="0" w:name="_Hlk231332993"/>
      <w:r w:rsidRPr="00021DCF">
        <w:rPr>
          <w:rFonts w:ascii="Garamond" w:hAnsi="Garamond" w:cs="Garamond"/>
          <w:color w:val="7B1E1E"/>
        </w:rPr>
        <w:t>★ ★ ★</w:t>
      </w:r>
      <w:r w:rsidRPr="00021DCF">
        <w:rPr>
          <w:color w:val="D99594" w:themeColor="accent2" w:themeTint="99"/>
        </w:rPr>
      </w:r>
      <w:r w:rsidRPr="00021DCF">
        <w:rPr>
          <w:rFonts w:ascii="Garamond" w:hAnsi="Garamond" w:cs="Garamond"/>
          <w:color w:val="D99594" w:themeColor="accent2" w:themeTint="99"/>
        </w:rPr>
      </w:r>
      <w:r w:rsidRPr="00021DCF">
        <w:rPr>
          <w:color w:val="D99594" w:themeColor="accent2" w:themeTint="99"/>
        </w:rPr>
      </w:r>
      <w:r w:rsidRPr="00021DCF">
        <w:rPr>
          <w:rFonts w:ascii="Garamond" w:hAnsi="Garamond" w:cs="Garamond"/>
          <w:color w:val="D99594" w:themeColor="accent2" w:themeTint="99"/>
        </w:rPr>
      </w:r>
      <w:bookmarkEnd w:id="0"/>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 EFFACÉ</w:t>
      </w:r>
    </w:p>
    <w:p w14:paraId="78E0FA08" w14:textId="77777777" w:rsidR="006E716F" w:rsidRDefault="00000000">
      <w:pPr>
        <w:spacing w:after="120" w:line="312" w:lineRule="auto" w:before="40"/>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120" w:line="312" w:lineRule="auto" w:before="40"/>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pPr>
              <w:spacing w:before="280"/>
            </w:pPr>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1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widowControl w:val="1"/>
        <w:spacing w:before="160" w:after="40" w:line="276" w:lineRule="auto"/>
        <w:ind w:left="680" w:right="454"/>
        <w:rPr>
          <w:rFonts w:ascii="Garamond" w:eastAsia="Georgia" w:hAnsi="Garamond" w:cs="Georgia"/>
          <w:i/>
          <w:iCs/>
          <w:color w:val="8B0000"/>
          <w:sz w:val="21"/>
          <w:szCs w:val="21"/>
        </w:rPr>
        <w:keepLines w:val="1"/>
        <w:pBdr>
          <w:left w:val="single" w:sz="32" w:space="14" w:color="7B1E1E"/>
        </w:pBd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widowControl w:val="1"/>
        <w:pBdr>
          <w:left w:val="single" w:sz="14" w:space="10" w:color="C8A951"/>
        </w:pBdr>
        <w:spacing w:before="160" w:after="200" w:line="276" w:lineRule="auto"/>
        <w:ind w:left="680" w:right="454"/>
        <w:rPr>
          <w:i/>
          <w:iCs/>
          <w:sz w:val="18"/>
          <w:szCs w:val="18"/>
        </w:rPr>
        <w:keepLines w:val="1"/>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widowControl w:val="1"/>
        <w:spacing w:after="120" w:line="312" w:lineRule="auto" w:before="40"/>
        <w:ind w:firstLine="283"/>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 — 1960 : l’indépendance confisquée</w:t>
      </w:r>
    </w:p>
    <w:p w14:paraId="6C4D2979"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Ahmed Sékou Touré, devant de Gaulle, 25 septembre 1958</w:t>
      </w:r>
    </w:p>
    <w:p w14:paraId="77693F2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pPr>
              <w:spacing w:before="280"/>
            </w:pPr>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1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widowControl w:val="1"/>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2F511D32" w14:textId="77777777" w:rsidR="006E716F" w:rsidRDefault="00000000">
      <w:r>
        <w:lastRenderedPageBreak/>
        <w:br w:type="page"/>
      </w:r>
    </w:p>
    <w:p w14:paraId="55D9C10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L’EMPIRE DU MENSONGE</w:t>
      </w:r>
    </w:p>
    <w:p w14:paraId="0E505459"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4 — Le pacte colonial camouflé</w:t>
      </w:r>
    </w:p>
    <w:p w14:paraId="0B152C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pPr>
              <w:spacing w:before="280"/>
            </w:pPr>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1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Paul Elvira, Panafrican Média TV, 2 août 2022</w:t>
      </w:r>
    </w:p>
    <w:p w14:paraId="7744338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pPr>
              <w:spacing w:before="280"/>
            </w:pPr>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1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widowControl w:val="1"/>
        <w:spacing w:after="120" w:line="312" w:lineRule="auto" w:before="40"/>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widowControl w:val="1"/>
        <w:spacing w:after="120" w:line="312" w:lineRule="auto" w:before="40"/>
        <w:ind w:firstLine="283"/>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2CAE014E"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1E2FD93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Loïk Le Floch-Prigent ancien dirigeant d’Elf</w:t>
      </w:r>
    </w:p>
    <w:p w14:paraId="2A74E8C0"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pPr>
              <w:spacing w:before="280"/>
            </w:pPr>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1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widowControl w:val="1"/>
        <w:ind w:left="2160" w:firstLine="720"/>
        <w:jc w:val="center"/>
      </w:pPr>
      <w:r w:rsidRPr="00043CA3">
        <w:rPr>
          <w:rFonts w:ascii="Garamond" w:hAnsi="Garamond" w:cs="Garamond"/>
          <w:color w:val="7B1E1E"/>
        </w:rPr>
        <w:t>★ ★ ★</w:t>
      </w:r>
      <w:r w:rsidRPr="00043CA3">
        <w:rPr>
          <w:color w:val="D99594" w:themeColor="accent2" w:themeTint="99"/>
        </w:rPr>
      </w:r>
      <w:r w:rsidRPr="00043CA3">
        <w:rPr>
          <w:rFonts w:ascii="Garamond" w:hAnsi="Garamond" w:cs="Garamond"/>
          <w:color w:val="D99594" w:themeColor="accent2" w:themeTint="99"/>
        </w:rPr>
      </w:r>
      <w:r w:rsidRPr="00043CA3">
        <w:rPr>
          <w:color w:val="D99594" w:themeColor="accent2" w:themeTint="99"/>
        </w:rPr>
      </w:r>
      <w:r w:rsidRPr="00043CA3">
        <w:rPr>
          <w:rFonts w:ascii="Garamond" w:hAnsi="Garamond" w:cs="Garamond"/>
          <w:color w:val="D99594" w:themeColor="accent2" w:themeTint="99"/>
        </w:rPr>
      </w:r>
      <w:r/>
    </w:p>
    <w:p w14:paraId="1B2F15CD"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Dr Douma Jean-René, Panafrican Média TV, 10 mai 2026</w:t>
      </w:r>
    </w:p>
    <w:p w14:paraId="5CE2530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pPr>
              <w:spacing w:before="280"/>
            </w:pPr>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1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pPr>
        <w:widowControl w:val="1"/>
        <w:spacing w:before="160" w:after="160"/>
        <w:jc w:val="center"/>
      </w:pPr>
      <w:r>
        <w:rPr>
          <w:color w:val="7B1E1E"/>
        </w:rPr>
        <w:t>★ ★ ★</w:t>
      </w:r>
    </w:p>
    <w:p>
      <w:pPr>
        <w:widowControl w:val="1"/>
        <w:spacing w:before="160" w:after="40"/>
        <w:ind w:left="680" w:right="454"/>
        <w:keepLines w:val="1"/>
        <w:pBdr>
          <w:left w:val="single" w:sz="32" w:space="14" w:color="7B1E1E"/>
        </w:pBdr>
      </w:pPr>
      <w:r>
        <w:rPr>
          <w:i/>
          <w:sz w:val="21"/>
        </w:rPr>
        <w:t>« La question de fond, c'est le modèle économique. Est-ce que les États africains ont un modèle économique ? La réponse est non. Nous avons un modèle extraverti qui n'existe même pas sur le papier. La question de la monnaie est cruciale, la question du modèle économique est fondamentale. La nationalisation, ce n'est pas qu'une alternative — c'est la solution souveraine d'émancipation. »</w:t>
      </w:r>
    </w:p>
    <w:p>
      <w:pPr>
        <w:widowControl w:val="1"/>
        <w:spacing w:before="0" w:after="200"/>
        <w:ind w:left="680" w:right="454"/>
        <w:keepLines w:val="1"/>
      </w:pPr>
      <w:r>
        <w:rPr>
          <w:i/>
          <w:sz w:val="19"/>
        </w:rPr>
        <w:t>— Albert Nataici, journaliste, directeur du Cactus, Paroles Panafricanistes</w:t>
      </w:r>
    </w:p>
    <w:p>
      <w:pPr>
        <w:widowControl w:val="1"/>
        <w:spacing w:after="120" w:line="312" w:lineRule="auto" w:before="40"/>
        <w:ind w:firstLine="283"/>
        <w:jc w:val="both"/>
      </w:pPr>
      <w:r>
        <w:t>La nationalisation présente trois avantages que ses adversaires ne contestent jamais sur le fond : elle crée des emplois directs et indirects, elle génère un marché intérieur, et elle oblige l'ouverture de filières de formation adaptées aux besoins réels du pays. Quand le Cameroun a construit son pipeline, il n'avait pas de soudeurs formés sur son propre territoire — il a fallu en importer d'autres pays africains. Cette absurdité — un pays riche de ressources mais sans les compétences pour les extraire lui-même — est le résultat de décennies de politique éducative orientée vers la formation de fonctionnaires coloniaux plutôt que de techniciens souverains.</w:t>
      </w:r>
    </w:p>
    <w:p>
      <w:pPr>
        <w:widowControl w:val="1"/>
        <w:spacing w:after="120" w:line="312" w:lineRule="auto" w:before="40"/>
        <w:ind w:firstLine="283"/>
        <w:jc w:val="both"/>
      </w:pPr>
      <w:r>
        <w:t>Les alternatives existent et sont documentées. La Mauritanie, sortie de la zone franc CFA depuis 1973, dispose de sa propre monnaie nationale et présente une économie stable. Le Maroc, avec son dirham indépendant, a construit une économie diversifiée. La Russie, sous l'étranglement des sanctions occidentales les plus massives de l'histoire, maintient une économie fonctionnelle précisément parce qu'elle contrôle sa monnaie nationale et développe des alternatives de paiement hors-dollar. Le bitcoin et les actifs numériques ouvrent une troisième voie, déjà explorée par la République centrafricaine avec le Sango. Ce ne sont pas des utopies. Ce sont des choix politiques disponibles.</w:t>
      </w:r>
    </w:p>
    <w:p>
      <w:pPr>
        <w:widowControl w:val="1"/>
        <w:spacing w:after="120" w:line="312" w:lineRule="auto" w:before="40"/>
        <w:ind w:firstLine="283"/>
        <w:jc w:val="both"/>
      </w:pPr>
      <w:r>
        <w:t>L'exemple camerounais de 1987 est une démonstration clinique du mécanisme de contrainte économique. Le président Biya avait déclaré que le Cameroun n'irait pas au FMI. Moins de trois ans plus tard, un choc pétrolier artificiellement orchestré sur les marchés internationaux s'est abattu sur les économies africaines exportatrices de matières premières. Pétrole, cacao, café — les cours se sont effondrés simultanément. Le Cameroun, comme de nombreux pays africains de l'époque, s'est retrouvé contraint d'aller au FMI. Les programmes d'ajustement structurel ont suivi : privatisations, coupes dans les budgets sociaux, licenciements massifs dans la fonction publique. Le FMI n'est pas une institution internationale au sens neutre du terme. C'est le business de patrimoines privés qui cherchent à fructifier leur argent sur le dos des nations vulnérabilisées.</w:t>
      </w:r>
    </w:p>
    <w:p>
      <w:pPr>
        <w:widowControl w:val="1"/>
        <w:spacing w:before="160" w:after="40"/>
        <w:ind w:left="680" w:right="454"/>
        <w:keepLines w:val="1"/>
        <w:pBdr>
          <w:left w:val="single" w:sz="32" w:space="14" w:color="7B1E1E"/>
        </w:pBdr>
      </w:pPr>
      <w:r>
        <w:rPr>
          <w:i/>
          <w:sz w:val="21"/>
        </w:rPr>
        <w:t>« Nous connaissons beaucoup de leaders africains qui ont été assassinés du fait d'avoir évoqué seulement la fin du franc CFA. Entre le discours de Macron et la réalité, il faut dire que dans la réalité, le franc CFA est fabriqué par la France, contrôlé par la France, et nourrit des Français. Même les migrants français en Afrique ne sont pas payés en franc CFA — ils le sont en euros. »</w:t>
      </w:r>
    </w:p>
    <w:p>
      <w:pPr>
        <w:widowControl w:val="1"/>
        <w:spacing w:before="0" w:after="200"/>
        <w:ind w:left="680" w:right="454"/>
        <w:keepLines w:val="1"/>
      </w:pPr>
      <w:r>
        <w:rPr>
          <w:i/>
          <w:sz w:val="19"/>
        </w:rPr>
        <w:t>— Albert Nataici, journaliste, Paroles Panafricanistes</w:t>
      </w:r>
    </w:p>
    <w:p>
      <w:pPr>
        <w:widowControl w:val="1"/>
        <w:spacing w:after="120" w:line="312" w:lineRule="auto" w:before="40"/>
        <w:ind w:firstLine="283"/>
        <w:jc w:val="both"/>
      </w:pPr>
      <w:r>
        <w:t>Macron a déclaré publiquement que les Africains sont « libres de sortir du franc CFA s'ils le veulent ». C'est le discours. La réalité est documentée par les corps. Thomas Sankara avait évoqué la sortie du franc CFA : assassiné. Sylvanus Olympio, premier président du Togo, avait créé le franc togolais et refusé d'intégrer la zone franc : assassiné six jours après le premier refus. Mouammar Kadhafi planifiait le dinar or africain pour s'affranchir du dollar et du franc dans les échanges continentaux : éliminé en 2011 par une coalition franco-britannique. La corrélation n'est pas anecdotique. Elle est la règle.</w:t>
      </w:r>
    </w:p>
    <w:p>
      <w:pPr>
        <w:widowControl w:val="1"/>
        <w:spacing w:after="120" w:line="312" w:lineRule="auto" w:before="40"/>
        <w:ind w:firstLine="283"/>
        <w:jc w:val="both"/>
      </w:pPr>
      <w:r>
        <w:t>Le franc CFA est le verrou de toute cette architecture. Quinze pays africains utilisent encore cette monnaie — fabriquée en France, contrôlée par la France, garantie par le Trésor français en échange du dépôt de 50 % des réserves de change dans un compte d'opération à Paris. Ce mécanisme signifie concrètement que tout pays francophone souhaitant vendre son pétrole ou son uranium à un acheteur non français doit transiter par ce compte d'opération parisien. La France connaît ainsi en temps réel les flux d'exportation de chaque pays, peut bloquer des transactions, et contrôle de facto la politique monétaire de seize nations souveraines.</w:t>
      </w:r>
    </w:p>
    <w:p>
      <w:pPr>
        <w:widowControl w:val="1"/>
        <w:spacing w:before="160" w:after="40"/>
        <w:ind w:left="680" w:right="454"/>
        <w:keepLines w:val="1"/>
        <w:pBdr>
          <w:left w:val="single" w:sz="32" w:space="14" w:color="7B1E1E"/>
        </w:pBdr>
      </w:pPr>
      <w:r>
        <w:rPr>
          <w:i/>
          <w:sz w:val="21"/>
        </w:rPr>
        <w:t>«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w:t>
      </w:r>
    </w:p>
    <w:p>
      <w:pPr>
        <w:widowControl w:val="1"/>
        <w:spacing w:before="0" w:after="200"/>
        <w:ind w:left="680" w:right="454"/>
        <w:keepLines w:val="1"/>
      </w:pPr>
      <w:r>
        <w:rPr>
          <w:i/>
          <w:sz w:val="19"/>
        </w:rPr>
        <w:t>— Albert Nataici, journaliste, Paroles Panafricanistes</w:t>
      </w:r>
    </w:p>
    <w:p>
      <w:pPr>
        <w:widowControl w:val="1"/>
        <w:spacing w:after="120" w:line="312" w:lineRule="auto" w:before="40"/>
        <w:ind w:firstLine="283"/>
        <w:jc w:val="both"/>
      </w:pPr>
      <w:r>
        <w:t>L'équation néolibérale pour l'Afrique est d'une cohérence redoutable du point de vue de l'exploiteur. Un continent qui ne produit presque rien de transformé, soumis au libre marché, devient et demeure un marché de consommation pour les manufactures étrangères. Les matières premières africaines — pétrole, uranium, cacao, café, coltan — quittent le continent à l'état brut. Leur prix est fixé non par les producteurs mais par les marchés financiers de Londres, Chicago, New York. La transformation, la valeur ajoutée, l'emploi industriel restent ailleurs. Au Niger, les dirigeants d'AREVA (rebaptisée Orano) informaient les autorités nigériennes de la quantité d'uranium extrait et en fixaient eux-mêmes le prix. Un pays assis sur les plus grandes réserves d'uranium du monde et qui n'a pas accès à l'électricité dans 80 % de son territoire.</w:t>
      </w:r>
    </w:p>
    <w:p>
      <w:pPr>
        <w:widowControl w:val="1"/>
        <w:spacing w:after="120" w:line="312" w:lineRule="auto" w:before="40"/>
        <w:ind w:firstLine="283"/>
        <w:jc w:val="both"/>
      </w:pPr>
      <w:r>
        <w:t>La nationalisation des ressources naturelles est présentée comme l'option radicale par certains économistes libéraux. Ce jugement révèle l'intériorisation du discours de l'occupant. La nationalisation est la norme mondiale. La Chine nationalise. Les États-Unis pratiquent un protectionnisme structurel qui ne dit pas son nom. La Norvège a nationalisé ses hydrocarbures et en a fait le fonds souverain le plus important du monde. Le néolibéralisme que le FMI impose à l'Afrique — libre marché total, privatisations, interdiction des subventions — est précisément ce que les puissances occidentales n'appliquent pas chez elles. C'est un carcan réservé aux vaincus.</w:t>
      </w:r>
    </w:p>
    <w:p>
      <w:pPr>
        <w:widowControl w:val="1"/>
        <w:spacing w:before="160" w:after="40"/>
        <w:ind w:left="680" w:right="454"/>
        <w:keepLines w:val="1"/>
        <w:pBdr>
          <w:left w:val="single" w:sz="32" w:space="14" w:color="7B1E1E"/>
        </w:pBdr>
      </w:pPr>
      <w:r>
        <w:rPr>
          <w:i/>
          <w:sz w:val="21"/>
        </w:rPr>
        <w:t>« La souveraineté économique et la souveraineté politique sont liées. L'une ne va pas sans l'autre. Aujourd'hui, on constate une dynamique de nationalisation des mines, des ressources stratégiques, de l'économie dans la Confédération du Sahel. Ce n'est pas qu'une alternative. C'est la solution. Une solution politique, une solution souveraine, une solution d'émancipation. »</w:t>
      </w:r>
    </w:p>
    <w:p>
      <w:pPr>
        <w:widowControl w:val="1"/>
        <w:spacing w:before="0" w:after="200"/>
        <w:ind w:left="680" w:right="454"/>
        <w:keepLines w:val="1"/>
      </w:pPr>
      <w:r>
        <w:rPr>
          <w:i/>
          <w:sz w:val="19"/>
        </w:rPr>
        <w:t>— Albert Nataici, journaliste, directeur du Cactus, Paroles Panafricanistes</w:t>
      </w:r>
    </w:p>
    <w:p>
      <w:pPr>
        <w:widowControl w:val="1"/>
        <w:spacing w:after="120" w:line="312" w:lineRule="auto" w:before="40"/>
        <w:ind w:firstLine="283"/>
        <w:jc w:val="both"/>
      </w:pPr>
      <w:r>
        <w:t>La décolonisation politique africaine s'est déroulée, pour l'essentiel, entre 1955 et 1990. La décolonisation économique, elle, n'a pas encore commencé. Ce n'est pas une métaphore. C'est un constat juridique et comptable. Jusqu'à une période récente, la France était propriétaire du sous-sol africain francophone — le pétrole, la bauxite, le gaz, l'uranium, le bois — selon les termes mêmes des accords de coopération signés au moment des indépendances. Le professeur Tapé Goubera l'a documenté dans son ouvrage de référence : De Gaulle a trahi l'Afrique. Le même de Gaulle que les historiens du dimanche français présentent comme un bienfaiteur — celui qui avait promis aux Africains l'indépendance politique et économique en échange de leur sang versé pour libérer la France, et qui a livré une indépendance de façade.</w:t>
      </w:r>
    </w:p>
    <w:p>
      <w:pPr>
        <w:pStyle w:val="Titre2"/>
        <w:pageBreakBefore w:val="1"/>
        <w:keepNext w:val="1"/>
      </w:pPr>
      <w:r>
        <w:rPr>
          <w:rFonts w:ascii="Garamond" w:hAnsi="Garamond"/>
          <w:b w:val="0"/>
          <w:color w:val="1A1A2E"/>
          <w:sz w:val="28"/>
        </w:rPr>
        <w:t>Chapitre 5b — Décolonisation économique : nationalisation, protectionnisme et la sortie du franc CFA</w:t>
      </w:r>
    </w:p>
    <w:p w14:paraId="667F5B4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pPr>
              <w:spacing w:before="280"/>
            </w:pPr>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1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ind w:firstLine="283"/>
        <w:jc w:val="both"/>
      </w:pPr>
      <w:r>
        <w:t>Pour le Sahel, la lecture des décennies de « coopération au développement » à travers ce prisme éclaire tout. Pourquoi le Niger — premier producteur mondial d'uranium — figure-t-il parmi les pays les plus pauvres de la planète ? Pourquoi le Mali — avec son or, son coton, ses ressources hydriques — a-t-il été maintenu structurellement sous perfusion d'aide ? Parce que le système n'est pas conçu pour développer. Il est conçu pour extraire, endetter et contrôler. La rupture de l'AES avec la CEDEAO, le FMI, la zone franc CFA n'est pas une régression vers le chaos. C'est la sortie consciente d'un piège que Perkins a lui-même contribué à construire, et qu'il a fini par dénoncer.</w:t>
      </w:r>
    </w:p>
    <w:p>
      <w:pPr>
        <w:widowControl w:val="1"/>
        <w:spacing w:before="160" w:after="40"/>
        <w:ind w:left="680" w:right="454"/>
        <w:keepLines w:val="1"/>
        <w:pBdr>
          <w:left w:val="single" w:sz="32" w:space="14" w:color="7B1E1E"/>
        </w:pBdr>
      </w:pPr>
      <w:r>
        <w:rPr>
          <w:i/>
          <w:sz w:val="21"/>
        </w:rPr>
        <w:t>« Le système repose sur une relation symbiotique entre les gouvernements, les multinationales et les institutions financières internationales. Lorsque les EHMs échouent à convaincre un dirigeant récalcitrant, les chacals prennent le relais. Et si les chacals échouent, c'est l'armée. Nous avons toujours un dernier recours. »</w:t>
      </w:r>
    </w:p>
    <w:p>
      <w:pPr>
        <w:widowControl w:val="1"/>
        <w:spacing w:before="0" w:after="200"/>
        <w:ind w:left="680" w:right="454"/>
        <w:keepLines w:val="1"/>
      </w:pPr>
      <w:r>
        <w:rPr>
          <w:i/>
          <w:sz w:val="19"/>
        </w:rPr>
        <w:t>— John Perkins, Confessions of an Economic Hit Man, 2004</w:t>
      </w:r>
    </w:p>
    <w:p>
      <w:pPr>
        <w:widowControl w:val="1"/>
        <w:spacing w:after="120" w:line="312" w:lineRule="auto" w:before="40"/>
        <w:ind w:firstLine="283"/>
        <w:jc w:val="both"/>
      </w:pPr>
      <w:r>
        <w:t>Perkins décrit également la hiérarchie des interventions quand un dirigeant résiste. D'abord les EHMs tentent de le convaincre — par les prêts, par la corruption, par la pression. Si cela échoue, les « chacals » entrent en scène : agents de la CIA spécialisés dans les coups d'État ou les accidents mortels. Si les chacals échouent aussi, l'armée américaine intervient directement. Lumumba, Sankara, Touré — l'histoire africaine est jalonnée de dirigeants qui ont refusé d'entrer dans le système et qui en sont morts. Ce n'est pas une théorie du complot. C'est un modèle d'action documenté par un de ses propres exécutants.</w:t>
      </w:r>
    </w:p>
    <w:p>
      <w:pPr>
        <w:widowControl w:val="1"/>
        <w:spacing w:after="120" w:line="312" w:lineRule="auto" w:before="40"/>
        <w:ind w:firstLine="283"/>
        <w:jc w:val="both"/>
      </w:pPr>
      <w:r>
        <w:t>Les conséquences concrètes sur les populations sont documentées avec précision. En Équateur, après des décennies de projets financés par ce système, le taux de pauvreté est passé de 50 % à 70 % tandis que la dette publique explosait. En Amazonie équatorienne, les compagnies pétrolières ont laissé des dizaines de milliards de litres de pétrole brut dans les terres et les rivières, détruisant les écosystèmes et les cultures indigènes en toute impunité juridique. Le modèle appauvrit les majorités, enrichit les élites locales collaboratrices et les multinationales, et transforme les budgets de santé et d'éducation en variables d'ajustement au service du remboursement des créanciers.</w:t>
      </w:r>
    </w:p>
    <w:p>
      <w:pPr>
        <w:widowControl w:val="1"/>
        <w:spacing w:after="120" w:line="312" w:lineRule="auto" w:before="40"/>
        <w:ind w:firstLine="283"/>
        <w:jc w:val="both"/>
      </w:pPr>
      <w:r>
        <w:t>Robert McNamara incarne la transformation institutionnelle de la Banque mondiale en agent impérial. Ancien secrétaire à la Défense des États-Unis — l'homme qui a géré la guerre du Vietnam — il prend la tête de la Banque mondiale en 1968 et en fait l'instrument d'une expansion de l'empire global à une échelle sans précédent. Sous sa direction, les prêts augmentent de 13 milliards à 100 milliards de dollars entre 1968 et 1981. Pas par humanisme. Par stratégie. Les modèles mathématiques habillent la rapacité en science. Les chiffres justifient l'inacceptable.</w:t>
      </w:r>
    </w:p>
    <w:p>
      <w:pPr>
        <w:widowControl w:val="1"/>
        <w:spacing w:before="160" w:after="40"/>
        <w:ind w:left="680" w:right="454"/>
        <w:keepLines w:val="1"/>
        <w:pBdr>
          <w:left w:val="single" w:sz="32" w:space="14" w:color="7B1E1E"/>
        </w:pBdr>
      </w:pPr>
      <w:r>
        <w:rPr>
          <w:i/>
          <w:sz w:val="21"/>
        </w:rPr>
        <w:t>« Lorsqu'un pays ne peut plus rembourser ses dettes envers la Banque mondiale ou le FMI, ces institutions, de concert avec le gouvernement américain, exigent des concessions : bases militaires, votes à l'ONU, accès aux ressources. La souveraineté est hypothéquée. C'est le contrat. »</w:t>
      </w:r>
    </w:p>
    <w:p>
      <w:pPr>
        <w:widowControl w:val="1"/>
        <w:spacing w:before="0" w:after="200"/>
        <w:ind w:left="680" w:right="454"/>
        <w:keepLines w:val="1"/>
      </w:pPr>
      <w:r>
        <w:rPr>
          <w:i/>
          <w:sz w:val="19"/>
        </w:rPr>
        <w:t>— John Perkins, Confessions of an Economic Hit Man, 2004</w:t>
      </w:r>
    </w:p>
    <w:p>
      <w:pPr>
        <w:widowControl w:val="1"/>
        <w:spacing w:after="120" w:line="312" w:lineRule="auto" w:before="40"/>
        <w:ind w:firstLine="283"/>
        <w:jc w:val="both"/>
      </w:pPr>
      <w:r>
        <w:t>Quelques années plus tard, quand le pays fait défaut — ce qui était prévu dès le début — le FMI et la Banque mondiale arrivent avec leurs « ajustements structurels ». La liste des conditions est invariable : privatisation des entreprises publiques, ouverture des marchés, réduction des budgets sociaux, accès privilégié aux ressources naturelles pour les investisseurs étrangers, et parfois l'installation de bases militaires américaines ou des votes favorables aux Nations Unies sur des sujets stratégiques. La dette devient un levier de contrôle politique total. C'est la continuation de la colonisation par d'autres instruments.</w:t>
      </w:r>
    </w:p>
    <w:p>
      <w:pPr>
        <w:widowControl w:val="1"/>
        <w:spacing w:after="120" w:line="312" w:lineRule="auto" w:before="40"/>
        <w:ind w:firstLine="283"/>
        <w:jc w:val="both"/>
      </w:pPr>
      <w:r>
        <w:t>Le mécanisme est d'une précision diabolique. Un pays africain — supposons le Niger avec son uranium, le Congo avec son coltan, l'Angola avec son pétrole — se voit proposer un grand prêt pour financer une infrastructure nationale : centrale électrique, port, autoroute, zone industrielle. Les EHMs produisent des études économiques montrant que le projet générera une croissance suffisante pour rembourser la dette avec intérêts. Ces prévisions sont délibérément gonflées. Elles ne sont jamais tenues. Le pays s'endette. L'argent part dans les comptes des entreprises américaines. Le projet est souvent sous-dimensionné ou inadapté aux besoins réels. La croissance promise ne vient pas. La dette reste.</w:t>
      </w:r>
    </w:p>
    <w:p>
      <w:pPr>
        <w:widowControl w:val="1"/>
        <w:spacing w:before="160" w:after="40"/>
        <w:ind w:left="680" w:right="454"/>
        <w:keepLines w:val="1"/>
        <w:pBdr>
          <w:left w:val="single" w:sz="32" w:space="14" w:color="7B1E1E"/>
        </w:pBdr>
      </w:pPr>
      <w:r>
        <w:rPr>
          <w:i/>
          <w:sz w:val="21"/>
        </w:rPr>
        <w:t>« Notre travail consistait à justifier d'énormes prêts internationaux qui finançaient de grands projets d'ingénierie et de construction. L'argent ne quittait jamais réellement les États-Unis — il allait directement de Washington aux caisses de Bechtel, Halliburton, Brown &amp; Root. Les pays recevaient des dettes. Les multinationales recevaient des contrats. »</w:t>
      </w:r>
    </w:p>
    <w:p>
      <w:pPr>
        <w:widowControl w:val="1"/>
        <w:spacing w:before="0" w:after="200"/>
        <w:ind w:left="680" w:right="454"/>
        <w:keepLines w:val="1"/>
      </w:pPr>
      <w:r>
        <w:rPr>
          <w:i/>
          <w:sz w:val="19"/>
        </w:rPr>
        <w:t>— John Perkins, Confessions of an Economic Hit Man, 2004</w:t>
      </w:r>
    </w:p>
    <w:p>
      <w:pPr>
        <w:widowControl w:val="1"/>
        <w:spacing w:after="120" w:line="312" w:lineRule="auto" w:before="40"/>
        <w:ind w:firstLine="283"/>
        <w:jc w:val="both"/>
      </w:pPr>
      <w:r>
        <w:t>John Perkins a passé plusieurs décennies à travailler comme « assassin financier » (Economic Hit Man, EHM) au service de ce qu'il appelle la « corporatocratie » — la symbiose entre gouvernements américains, multinationales et institutions financières internationales. Son témoignage, publié en 2004 dans Confessions of an Economic Hit Man, constitue la description de l'intérieur d'un système qui utilise le FMI et la Banque mondiale non comme des outils de développement, mais comme des armes de conquête économique. Pour l'Afrique, le diagnostic est total : le continent est la cible principale de ce mécanisme depuis l'indépendance.</w:t>
      </w:r>
    </w:p>
    <w:p>
      <w:pPr>
        <w:pStyle w:val="Titre2"/>
        <w:pageBreakBefore w:val="1"/>
        <w:keepNext w:val="1"/>
      </w:pPr>
      <w:r>
        <w:rPr>
          <w:rFonts w:ascii="Garamond" w:hAnsi="Garamond"/>
          <w:b w:val="0"/>
          <w:color w:val="1A1A2E"/>
          <w:sz w:val="28"/>
        </w:rPr>
        <w:t>Chapitre 6b — Le FMI, la Banque mondiale et les assassins financiers</w:t>
      </w:r>
    </w:p>
    <w:p w14:paraId="5168F491"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8 — Le langage de la domination</w:t>
      </w:r>
    </w:p>
    <w:p w14:paraId="1923811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pPr>
              <w:spacing w:before="280"/>
            </w:pPr>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1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président de la transition du Mali, 2022</w:t>
      </w:r>
    </w:p>
    <w:p w14:paraId="2899C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widowControl w:val="1"/>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57A5E1C0" w14:textId="77777777" w:rsidR="006E716F" w:rsidRDefault="00000000">
      <w:r>
        <w:lastRenderedPageBreak/>
        <w:br w:type="page"/>
      </w:r>
    </w:p>
    <w:p w14:paraId="11D25E04"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CE QUE LA FRANCE ADMET EN PRIVÉ</w:t>
      </w:r>
    </w:p>
    <w:p w14:paraId="593D965B"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Nous avons besoin de l’Afrique plus que l’Afrique n’a besoin de nous. »</w:t>
      </w:r>
    </w:p>
    <w:p w14:paraId="7CDC5F70"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Il s’agit de la 50e intervention française en Afrique subsaharienne depuis les indépendances d’il y a 50 ans. »</w:t>
      </w:r>
    </w:p>
    <w:p w14:paraId="69DA758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Commission parlementaire française, rapport sur les relations France-Afrique</w:t>
      </w:r>
    </w:p>
    <w:p w14:paraId="7967C333"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2D4634E3"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André Chassaigne, député GDR/PCF, Assemblée nationale française, débat opération Sangaris, décembre 2013</w:t>
      </w:r>
    </w:p>
    <w:p w14:paraId="1CB87A75"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André Chassaigne, ibid.</w:t>
      </w:r>
    </w:p>
    <w:p w14:paraId="6C3EA8F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TROIS COURONNES DE LA TRAHISON</w:t>
      </w:r>
    </w:p>
    <w:p w14:paraId="57599FB4"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12 — La CEDEAO comme instrument</w:t>
      </w:r>
    </w:p>
    <w:p w14:paraId="444F53B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pPr>
              <w:spacing w:before="280"/>
            </w:pPr>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1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widowControl w:val="1"/>
        <w:ind w:left="2160" w:firstLine="720"/>
        <w:jc w:val="center"/>
      </w:pPr>
      <w:r w:rsidRPr="00BC04FC">
        <w:rPr>
          <w:rFonts w:ascii="Garamond" w:hAnsi="Garamond" w:cs="Garamond"/>
          <w:color w:val="7B1E1E"/>
        </w:rPr>
        <w:t>★ ★ ★</w:t>
      </w:r>
      <w:r w:rsidRPr="00BC04FC">
        <w:rPr>
          <w:color w:val="D99594" w:themeColor="accent2" w:themeTint="99"/>
        </w:rPr>
      </w:r>
      <w:r w:rsidRPr="00BC04FC">
        <w:rPr>
          <w:rFonts w:ascii="Garamond" w:hAnsi="Garamond" w:cs="Garamond"/>
          <w:color w:val="D99594" w:themeColor="accent2" w:themeTint="99"/>
        </w:rPr>
      </w:r>
      <w:r w:rsidRPr="00BC04FC">
        <w:rPr>
          <w:color w:val="D99594" w:themeColor="accent2" w:themeTint="99"/>
        </w:rPr>
      </w:r>
      <w:r w:rsidRPr="00BC04FC">
        <w:rPr>
          <w:rFonts w:ascii="Garamond" w:hAnsi="Garamond" w:cs="Garamond"/>
          <w:color w:val="D99594" w:themeColor="accent2" w:themeTint="99"/>
        </w:rPr>
      </w:r>
      <w:r/>
    </w:p>
    <w:p w14:paraId="4274B93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t>Chapitre 13 — Les élites compradore</w:t>
      </w:r>
    </w:p>
    <w:p w14:paraId="12F2305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pPr>
              <w:spacing w:before="280"/>
            </w:pPr>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1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22"/>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Abdourahamane Tiani, CNSP Niger, entretien Télé </w:t>
      </w:r>
      <w:r w:rsidR="00FA2838">
        <w:rPr>
          <w:rFonts w:ascii="Garamond" w:eastAsia="Georgia" w:hAnsi="Garamond" w:cs="Georgia"/>
          <w:color w:val="1A1A1A"/>
          <w:sz w:val="22"/>
          <w:szCs w:val="22"/>
        </w:rPr>
        <w:t>Sahel]</w:t>
      </w:r>
      <w:r w:rsidR="0067206D">
        <w:rPr>
          <w:rFonts w:ascii="Garamond" w:eastAsia="Georgia" w:hAnsi="Garamond" w:cs="Georgia"/>
          <w:color w:val="1A1A1A"/>
          <w:sz w:val="22"/>
          <w:szCs w:val="22"/>
        </w:rPr>
        <w:t xml:space="preserve"> </w:t>
      </w:r>
      <w:r>
        <w:rPr>
          <w:rFonts w:ascii="Garamond" w:eastAsia="Georgia" w:hAnsi="Garamond" w:cs="Georgia"/>
          <w:color w:val="1A1A1A"/>
          <w:sz w:val="22"/>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widowControl w:val="1"/>
        <w:spacing w:before="160" w:after="40" w:line="276" w:lineRule="auto"/>
        <w:ind w:left="680" w:right="454"/>
        <w:rPr>
          <w:rFonts w:ascii="Garamond" w:eastAsia="Georgia" w:hAnsi="Garamond" w:cs="Georgia"/>
          <w:i/>
          <w:iCs/>
          <w:color w:val="8B0000"/>
          <w:sz w:val="21"/>
          <w:szCs w:val="21"/>
        </w:rPr>
        <w:keepLines w:val="1"/>
        <w:pBdr>
          <w:left w:val="single" w:sz="32" w:space="14" w:color="7B1E1E"/>
        </w:pBd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widowControl w:val="1"/>
        <w:pBdr>
          <w:left w:val="single" w:sz="14" w:space="10" w:color="C8A951"/>
        </w:pBdr>
        <w:spacing w:before="160" w:after="200" w:line="276" w:lineRule="auto"/>
        <w:ind w:left="680" w:right="454"/>
        <w:rPr>
          <w:i/>
          <w:iCs/>
        </w:rPr>
        <w:keepLines w:val="1"/>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pPr>
        <w:widowControl w:val="1"/>
        <w:spacing w:before="160" w:after="160"/>
        <w:jc w:val="center"/>
      </w:pPr>
      <w:r>
        <w:rPr>
          <w:color w:val="7B1E1E"/>
        </w:rPr>
        <w:t>★ ★ ★</w:t>
      </w:r>
    </w:p>
    <w:p>
      <w:pPr>
        <w:widowControl w:val="1"/>
        <w:spacing w:before="160" w:after="40"/>
        <w:ind w:left="680" w:right="454"/>
        <w:keepLines w:val="1"/>
        <w:pBdr>
          <w:left w:val="single" w:sz="32" w:space="14" w:color="7B1E1E"/>
        </w:pBdr>
      </w:pPr>
      <w:r>
        <w:rPr>
          <w:i/>
          <w:sz w:val="21"/>
        </w:rPr>
        <w:t>« Tout ce qui nous est arrivé devait forcément nous arriver. Mais nous savons tous que nous sommes sur la terre pour les autres. Regardez tous les révolutionnaires dans l'histoire. Vous êtes forts. Vous avez la rage. Ne vous attardez pas sur les petits agités, les diviseurs. Vous êtes conscients. Le résultat est connu. Votre chute est là — la leur. Vous foncez. Rien ne va vous arrêter. »</w:t>
      </w:r>
    </w:p>
    <w:p>
      <w:pPr>
        <w:widowControl w:val="1"/>
        <w:spacing w:before="0" w:after="200"/>
        <w:ind w:left="680" w:right="454"/>
        <w:keepLines w:val="1"/>
      </w:pPr>
      <w:r>
        <w:rPr>
          <w:i/>
          <w:sz w:val="19"/>
        </w:rPr>
        <w:t>— Président Badakani, Paroles Panafricanistes, 29 novembre 2022</w:t>
      </w:r>
    </w:p>
    <w:p>
      <w:pPr>
        <w:widowControl w:val="1"/>
        <w:spacing w:after="120" w:line="312" w:lineRule="auto" w:before="40"/>
        <w:ind w:firstLine="283"/>
        <w:jc w:val="both"/>
      </w:pPr>
      <w:r>
        <w:t>Le parallèle avec l'AES est exact. Assimi Goïta, Ibrahim Traoré, Abdourahamane Tiani ne sont pas des foules. Ce sont des commandants. Ils ont tracé ce que Badakani appelle « le parchemin de la liberté » : une trajectoire cohérente, rationnelle, nourrie d'une analyse froide de la situation réelle — pas des illusions, pas du sentimentalisme, pas de la démagogie. La division qui les entoure ne les arrête pas. Elle ne peut pas les arrêter. Parce que ceux qui dominent par le crime et le mensonge — depuis Berlin 1884 jusqu'à Paris 2026 — contiennent en eux-mêmes la loi de leur chute.</w:t>
      </w:r>
    </w:p>
    <w:p>
      <w:pPr>
        <w:widowControl w:val="1"/>
        <w:spacing w:after="120" w:line="312" w:lineRule="auto" w:before="40"/>
        <w:ind w:firstLine="283"/>
        <w:jc w:val="both"/>
      </w:pPr>
      <w:r>
        <w:t>Face à cette mécanique de la division perpétuée, une seule réponse est historiquement efficace : le principe supérieur de l'organisation. Non pas la masse mais l'avant-garde — le petit noyau de ceux qui ont travaillé la conscience, discipliné l'ego, subordonné l'intérêt personnel à la cause collective. Tous les mouvements révolutionnaires qui ont transformé le monde ont commencé ainsi : quelques hommes et femmes convoquant dans leur combat la loi du temps long, refusant de se laisser distraire par les petits agités et les diviseurs, avançant vers un objectif connu parce que documenté, analysé, compris.</w:t>
      </w:r>
    </w:p>
    <w:p>
      <w:pPr>
        <w:widowControl w:val="1"/>
        <w:spacing w:before="160" w:after="40"/>
        <w:ind w:left="680" w:right="454"/>
        <w:keepLines w:val="1"/>
        <w:pBdr>
          <w:left w:val="single" w:sz="32" w:space="14" w:color="7B1E1E"/>
        </w:pBdr>
      </w:pPr>
      <w:r>
        <w:rPr>
          <w:i/>
          <w:sz w:val="21"/>
        </w:rPr>
        <w:t>« Ils vont reprendre les mots de Macron sur la Russie — 'impérialisme hybride' — sans savoir ce que ça veut dire. Parce qu'ils sont entraînés dans le jeu de cette division historique, basé sur les avantages gagnés depuis l'esclavage. Les Africains qui en ont profité se sont mis à servir le maître, lui fournissant leurs frères. Cela leur apportait de la sécurité : se mettre du côté du plus fort du moment. »</w:t>
      </w:r>
    </w:p>
    <w:p>
      <w:pPr>
        <w:widowControl w:val="1"/>
        <w:spacing w:before="0" w:after="200"/>
        <w:ind w:left="680" w:right="454"/>
        <w:keepLines w:val="1"/>
      </w:pPr>
      <w:r>
        <w:rPr>
          <w:i/>
          <w:sz w:val="19"/>
        </w:rPr>
        <w:t>— Président Badakani, Paroles Panafricanistes, 29 novembre 2022</w:t>
      </w:r>
    </w:p>
    <w:p>
      <w:pPr>
        <w:widowControl w:val="1"/>
        <w:spacing w:after="120" w:line="312" w:lineRule="auto" w:before="40"/>
        <w:ind w:firstLine="283"/>
        <w:jc w:val="both"/>
      </w:pPr>
      <w:r>
        <w:t>Cette classe a des précédents historiques. Pendant la traite négrière, certains Africains ont fourni leurs frères aux négriers en échange de sécurité, de marchandises, d'une position de force relative. Ce n'est pas une aberration morale — c'est une réponse rationelle à un rapport de force écrasant. Mais cette logique de survie a engendré une dépendance psychologique profonde : à force de manger à la table de l'ennemi, on perd toute capacité autonome d'analyse. On emprunte ses catégories, ses mots, ses verdicts. On appelle « impérialiste » la Russie parce que Macron le dit. On qualifie les résistants d'« extrémistes ». On maudit ses frères qui se battent pour justifier son propre refus de se battre.</w:t>
      </w:r>
    </w:p>
    <w:p>
      <w:pPr>
        <w:widowControl w:val="1"/>
        <w:spacing w:after="120" w:line="312" w:lineRule="auto" w:before="40"/>
        <w:ind w:firstLine="283"/>
        <w:jc w:val="both"/>
      </w:pPr>
      <w:r>
        <w:t>Ce qui n'est pas normal, en revanche, c'est la perpétuation délibérée de cette division par une classe sociale dont l'existence même dépend du maintien du désordre. Ce sont les endocolonisés — des hommes comme Alassane Ouattara, comme tous les dirigeants africains qui font le tour du monde pour recevoir des ordres avant de venir exercer le pouvoir chez eux. Leur logique est simple et perverse : si la France est battue, leur classe disparaît avec elle. Ils font donc tout pour que jamais la France ne perde. Ils créent les conditions de la perpétuation de la domination. Ils financent les divisions, alimentent les conflits ethniques, trahissent les mouvements de résistance. Non par idéologie, mais par calcul de survie personnelle.</w:t>
      </w:r>
    </w:p>
    <w:p>
      <w:pPr>
        <w:widowControl w:val="1"/>
        <w:spacing w:before="160" w:after="40"/>
        <w:ind w:left="680" w:right="454"/>
        <w:keepLines w:val="1"/>
        <w:pBdr>
          <w:left w:val="single" w:sz="32" w:space="14" w:color="7B1E1E"/>
        </w:pBdr>
      </w:pPr>
      <w:r>
        <w:rPr>
          <w:i/>
          <w:sz w:val="21"/>
        </w:rPr>
        <w:t>« L'Afrique est tombée. La conséquence de la division, c'est que ce qui était uni hier, avant de tomber, n'a plus son centre, son sens. Ce centre qui commandait, qui justifiait la discipline des particularités, est tombé. Dès lors, les particularismes reprennent leur autonomie et cherchent à s'exprimer. C'est normal. On ne peut rien contre ça. »</w:t>
      </w:r>
    </w:p>
    <w:p>
      <w:pPr>
        <w:widowControl w:val="1"/>
        <w:spacing w:before="0" w:after="200"/>
        <w:ind w:left="680" w:right="454"/>
        <w:keepLines w:val="1"/>
      </w:pPr>
      <w:r>
        <w:rPr>
          <w:i/>
          <w:sz w:val="19"/>
        </w:rPr>
        <w:t>— Président Badakani, Paroles Panafricanistes, 29 novembre 2022</w:t>
      </w:r>
    </w:p>
    <w:p>
      <w:pPr>
        <w:widowControl w:val="1"/>
        <w:spacing w:after="120" w:line="312" w:lineRule="auto" w:before="40"/>
        <w:ind w:firstLine="283"/>
        <w:jc w:val="both"/>
      </w:pPr>
      <w:r>
        <w:t>L'Afrique est tombée. Cette phrase n'est pas un jugement moral. C'est un constat historique. Avant la chute, il existait un centre — dynasties, empires, royaumes — qui justifiait la discipline des particularités, coordonnait les identités fragmentaires sous une autorité légitime. Quand ce centre s'est effondré sous le choc colonial, la loi normale de la vie a repris ses droits : les particularités ont retrouvé leur autonomie. Les ethnies, les clans, les langues, les religions locales ont recommencé à exister pour elles-mêmes. La division est la norme après la chute d'un centre. Ce n'est pas un mystère. C'est de la physique sociale.</w:t>
      </w:r>
    </w:p>
    <w:p>
      <w:pPr>
        <w:widowControl w:val="1"/>
        <w:spacing w:after="120" w:line="312" w:lineRule="auto" w:before="40"/>
        <w:ind w:firstLine="283"/>
        <w:jc w:val="both"/>
      </w:pPr>
      <w:r>
        <w:t>La question de la division africaine ne peut pas être traitée émotionnellement. Elle exige ce que le Président Badakani appelle « le bistouri de l'esprit » : une méthode d'analyse qui accumule les matériaux historiques, identifie les conditions d'apparition des phénomènes — pas seulement le phénomène lui-même — et ouvre des perspectives d'action résolues. La division n'est pas une malédiction. Elle n'est pas davantage une tare culturelle africaine. Elle est la conséquence mécanique, inévitable, d'une chute.</w:t>
      </w:r>
    </w:p>
    <w:p>
      <w:pPr>
        <w:widowControl w:val="1"/>
        <w:spacing w:before="160" w:after="40"/>
        <w:ind w:left="680" w:right="454"/>
        <w:keepLines w:val="1"/>
        <w:pBdr>
          <w:left w:val="single" w:sz="32" w:space="14" w:color="7B1E1E"/>
        </w:pBdr>
      </w:pPr>
      <w:r>
        <w:rPr>
          <w:i/>
          <w:sz w:val="21"/>
        </w:rPr>
        <w:t>« Tous les coups sont permis : crimes inexplicables, génocide, meurtre à ciel ouvert, coupage de mains, de pieds, d'oreilles, crime rituel, coupage de tête, déportation, versement de napalm. Toute cette horreur est utilisée pour établir l'hégémonie occidentale, qui considère que les Africains sont des animaux, si ce n'est des sous-hommes. »</w:t>
      </w:r>
    </w:p>
    <w:p>
      <w:pPr>
        <w:widowControl w:val="1"/>
        <w:spacing w:before="0" w:after="200"/>
        <w:ind w:left="680" w:right="454"/>
        <w:keepLines w:val="1"/>
      </w:pPr>
      <w:r>
        <w:rPr>
          <w:i/>
          <w:sz w:val="19"/>
        </w:rPr>
        <w:t>— Président Badakani, Paroles Panafricanistes, 29 novembre 2022</w:t>
      </w:r>
    </w:p>
    <w:p>
      <w:pPr>
        <w:widowControl w:val="1"/>
        <w:spacing w:after="120" w:line="312" w:lineRule="auto" w:before="40"/>
        <w:ind w:firstLine="283"/>
        <w:jc w:val="both"/>
      </w:pPr>
      <w:r>
        <w:t>Avant Berlin, les Européens étaient présents sur les côtes africaines via des comptoirs commerciaux. Les explorations vers l'intérieur des terres commençaient, motivées par le commerce, la géographie, l'évangélisation. Après Berlin, c'est la conquête systématique : traités arrachés à des souverains africains sous la menace ou par tromperie, génocides, travaux forcés, coupage de mains et de pieds, napalm versé sur des villages. Toute la panoplie de l'horreur coloniale est déployée avec une finalité unique : installer la peur comme principe de gouvernement d'un continent entier.</w:t>
      </w:r>
    </w:p>
    <w:p>
      <w:pPr>
        <w:widowControl w:val="1"/>
        <w:spacing w:after="120" w:line="312" w:lineRule="auto" w:before="40"/>
        <w:ind w:firstLine="283"/>
        <w:jc w:val="both"/>
      </w:pPr>
      <w:r>
        <w:t>Le 15 novembre 1884, les représentants de quatorze puissances européennes et des États-Unis se réunissent à Berlin dans la résidence du chancelier Bismarck. La conférence qui suit durera jusqu'au 26 février 1885. Pour la première fois dans l'histoire de la diplomatie mondiale, une réunion internationale porte exclusivement sur un continent qui n'y est pas représenté.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pStyle w:val="Titre2"/>
        <w:pageBreakBefore w:val="1"/>
        <w:keepNext w:val="1"/>
      </w:pPr>
      <w:r>
        <w:rPr>
          <w:rFonts w:ascii="Garamond" w:hAnsi="Garamond"/>
          <w:b w:val="0"/>
          <w:color w:val="1A1A2E"/>
          <w:sz w:val="28"/>
        </w:rPr>
        <w:t>Chapitre 13b — Impérialisme, nazisme et la mécanique de la division africaine</w:t>
      </w:r>
    </w:p>
    <w:p>
      <w:pPr>
        <w:widowControl w:val="1"/>
        <w:spacing w:before="160" w:after="160"/>
        <w:jc w:val="center"/>
      </w:pPr>
      <w:r>
        <w:rPr>
          <w:color w:val="7B1E1E"/>
        </w:rPr>
        <w:t>★ ★ ★</w:t>
      </w:r>
    </w:p>
    <w:p>
      <w:pPr>
        <w:widowControl w:val="1"/>
        <w:spacing w:before="160" w:after="40"/>
        <w:ind w:left="680" w:right="454"/>
        <w:keepLines w:val="1"/>
        <w:pBdr>
          <w:left w:val="single" w:sz="32" w:space="14" w:color="7B1E1E"/>
        </w:pBdr>
      </w:pPr>
      <w:r>
        <w:rPr>
          <w:i/>
          <w:sz w:val="21"/>
        </w:rPr>
        <w:t>« Les problèmes africains doivent avoir une solution africaine. Tous les accords signés en dehors du pays concerné sont nuls et non avenus. Que ceux qui complotent avec les Occidentaux sachent qu'ils finissent toujours mal. Et que ceux qui les soutiennent assument leur responsabilité — parce que voter pour un dictateur parce qu'on a reçu 5 000 francs, c'est accepter d'être gouverné par ce dictateur. »</w:t>
      </w:r>
    </w:p>
    <w:p>
      <w:pPr>
        <w:widowControl w:val="1"/>
        <w:spacing w:before="0" w:after="200"/>
        <w:ind w:left="680" w:right="454"/>
        <w:keepLines w:val="1"/>
      </w:pPr>
      <w:r>
        <w:rPr>
          <w:i/>
          <w:sz w:val="19"/>
        </w:rPr>
        <w:t>— Dr. Rufin Viclère Mabiala, analyste panafricaniste</w:t>
      </w:r>
    </w:p>
    <w:p>
      <w:pPr>
        <w:widowControl w:val="1"/>
        <w:spacing w:after="120" w:line="312" w:lineRule="auto" w:before="40"/>
        <w:ind w:firstLine="283"/>
        <w:jc w:val="both"/>
      </w:pPr>
      <w:r>
        <w:t>La leçon que Dr. Mabiala tire de ces portraits convergents est d'une rigueur analytique que ni l'émotion ni la haine ne peuvent épuiser. Ce n'est pas que ces hommes sont mauvais d'une malédiction individuelle. C'est qu'ils ont fait un choix structurel — servir l'étranger contre leur peuple — et que ce choix a des conséquences mécaniques, indépendamment de leurs intentions personnelles. Mobutu croyait peut-être en son utilité. Compaoré croyait peut-être en sa protection éternelle. Soro croyait peut-être en sa récompense. L'Empire n'a pas de mémoire pour ses valets. Il n'a que des intérêts.</w:t>
      </w:r>
    </w:p>
    <w:p>
      <w:pPr>
        <w:widowControl w:val="1"/>
        <w:spacing w:after="120" w:line="312" w:lineRule="auto" w:before="40"/>
        <w:ind w:firstLine="283"/>
        <w:jc w:val="both"/>
      </w:pPr>
      <w:r>
        <w:t>La guerre informationnelle a une dimension méconnue : la fabrication de l'expertise. Les médias occidentaux — RFI, France 24, CNN, TV5 — ne font pas que diffuser des informations. Ils fabriquent des légitimités. Ils décident qui est « économiste reconnu », qui est « analyste de référence », qui est « politologue incontournable ». Ces labels sont distribués aux serviteurs du système et refusés aux experts indépendants. Un docteur en économie africain qui démonte la mécanique du franc CFA n'existe pas sur RFI. Un technocrate sans doctorat formé dans les couloirs du FMI est présenté comme le grand économiste du moment — s'il défend les intérêts de Paris.</w:t>
      </w:r>
    </w:p>
    <w:p>
      <w:pPr>
        <w:widowControl w:val="1"/>
        <w:spacing w:before="160" w:after="40"/>
        <w:ind w:left="680" w:right="454"/>
        <w:keepLines w:val="1"/>
        <w:pBdr>
          <w:left w:val="single" w:sz="32" w:space="14" w:color="7B1E1E"/>
        </w:pBdr>
      </w:pPr>
      <w:r>
        <w:rPr>
          <w:i/>
          <w:sz w:val="21"/>
        </w:rPr>
        <w:t>« C'est quand Ouattara était directeur du département Afrique du FMI que tous les pays africains se sont mis la corde autour du cou. Tous sans exception. Voilà où tous les pays africains ont une dette. C'est Ouattara. Parce qu'il voulait le succès — c'est devenu son CV. »</w:t>
      </w:r>
    </w:p>
    <w:p>
      <w:pPr>
        <w:widowControl w:val="1"/>
        <w:spacing w:before="0" w:after="200"/>
        <w:ind w:left="680" w:right="454"/>
        <w:keepLines w:val="1"/>
      </w:pPr>
      <w:r>
        <w:rPr>
          <w:i/>
          <w:sz w:val="19"/>
        </w:rPr>
        <w:t>— Dr. Rufin Viclère Mabiala, analyste panafricaniste</w:t>
      </w:r>
    </w:p>
    <w:p>
      <w:pPr>
        <w:widowControl w:val="1"/>
        <w:spacing w:after="120" w:line="312" w:lineRule="auto" w:before="40"/>
        <w:ind w:firstLine="283"/>
        <w:jc w:val="both"/>
      </w:pPr>
      <w:r>
        <w:t>Mais Ouattara n'est pas seulement le complice local de la France en Côte d'Ivoire. Son rôle dans l'appauvrissement systématique de l'Afrique a une dimension continentale documentée. Pendant son passage à la direction du département Afrique du FMI, il a été l'architecte de l'imposition des plans d'ajustement structurel à l'ensemble des pays africains. Les accords qui ont contraint les États africains à privatiser leurs services publics, à réduire leurs budgets de santé et d'éducation, à ouvrir leurs marchés aux produits occidentaux subventionnés — ces accords portent sa signature institutionnelle. Ce n'est pas une hypothèse. C'est un fait de carrière.</w:t>
      </w:r>
    </w:p>
    <w:p>
      <w:pPr>
        <w:widowControl w:val="1"/>
        <w:spacing w:after="120" w:line="312" w:lineRule="auto" w:before="40"/>
        <w:ind w:firstLine="283"/>
        <w:jc w:val="both"/>
      </w:pPr>
      <w:r>
        <w:t>**Le cas Ouattara** est le plus instructif parce qu'il est en cours. Alassane Ouattara a accédé au pouvoir en Côte d'Ivoire grâce à Guillaume Soro, chef de la rébellion des Forces Nouvelles, qui a tenu le nord du pays pendant une décennie pour créer les conditions de l'intervention française en 2011. Soro a livré la Côte d'Ivoire à la France. La France a livré la Côte d'Ivoire à Ouattara. Dix ans plus tard, Ouattara condamne Soro à vingt ans d'emprisonnement pour les mêmes actes qu'il avait lui-même commandités. Soro se cache, fuit, cherche à invoquer une immunité parlementaire introuvable. La France ne lève pas le petit doigt pour le défendre.</w:t>
      </w:r>
    </w:p>
    <w:p>
      <w:pPr>
        <w:widowControl w:val="1"/>
        <w:spacing w:before="160" w:after="40"/>
        <w:ind w:left="680" w:right="454"/>
        <w:keepLines w:val="1"/>
        <w:pBdr>
          <w:left w:val="single" w:sz="32" w:space="14" w:color="7B1E1E"/>
        </w:pBdr>
      </w:pPr>
      <w:r>
        <w:rPr>
          <w:i/>
          <w:sz w:val="21"/>
        </w:rPr>
        <w:t>« Tous les terroristes qui ont agi dans le Sahel — au Burkina, au Mali, au Niger — ont été fabriqués, formés ou protégés par Compaoré. Qu'est-ce qu'on a fait de Compaoré ? Les Français l'ont pris, l'ont sauvé pour ne pas qu'on l'attrape. Et la Côte d'Ivoire d'Ouattara le protège pour qu'il ne puisse pas faire face à la justice. »</w:t>
      </w:r>
    </w:p>
    <w:p>
      <w:pPr>
        <w:widowControl w:val="1"/>
        <w:spacing w:before="0" w:after="200"/>
        <w:ind w:left="680" w:right="454"/>
        <w:keepLines w:val="1"/>
      </w:pPr>
      <w:r>
        <w:rPr>
          <w:i/>
          <w:sz w:val="19"/>
        </w:rPr>
        <w:t>— Dr. Rufin Viclère Mabiala, analyste panafricaniste</w:t>
      </w:r>
    </w:p>
    <w:p>
      <w:pPr>
        <w:widowControl w:val="1"/>
        <w:spacing w:after="120" w:line="312" w:lineRule="auto" w:before="40"/>
        <w:ind w:firstLine="283"/>
        <w:jc w:val="both"/>
      </w:pPr>
      <w:r>
        <w:t>Compaoré a assassiné Sankara pour rendre service à la France. Il a déstabilisé la sous-région pendant vingt-sept ans pour rendre service à la France. Quand il a été renversé par son propre peuple en 2014, la France l'a exfiltré en Côte d'Ivoire — chez son complice Ouattara — pour le protéger de la justice. Quand les juges burkinabè ont voulu le juger pour l'assassinat de Sankara, la Côte d'Ivoire d'Ouattara l'a protégé. Puis le tribunal militaire de Ouagadougou l'a condamné par contumace à la réclusion criminelle à perpétuité. Il vit toujours à Abidjan, sous la protection de celui qui lui-même sera bientôt jugé.</w:t>
      </w:r>
    </w:p>
    <w:p>
      <w:pPr>
        <w:widowControl w:val="1"/>
        <w:spacing w:after="120" w:line="312" w:lineRule="auto" w:before="40"/>
        <w:ind w:firstLine="283"/>
        <w:jc w:val="both"/>
      </w:pPr>
      <w:r>
        <w:t>**Le cas Compaoré** illustre la mécanique sahélienne de la trahison. Blaise Compaoré, pendant ses vingt-sept ans au pouvoir au Burkina Faso, a été le hub logistique de tous les groupes armés de la sous-région. Les réseaux jihadistes qui ont ensanglanté le Mali, le Niger, le Burkina — leurs chefs ont été formés, financés ou protégés dans le système Compaoré. C'est documenté. Ce que les analyses omettent de préciser : Compaoré opérait avec le consentement actif de ses bailleurs français, qui utilisaient cette instabilité calibrée pour justifier leur présence militaire dans la région.</w:t>
      </w:r>
    </w:p>
    <w:p>
      <w:pPr>
        <w:widowControl w:val="1"/>
        <w:spacing w:before="160" w:after="40"/>
        <w:ind w:left="680" w:right="454"/>
        <w:keepLines w:val="1"/>
        <w:pBdr>
          <w:left w:val="single" w:sz="32" w:space="14" w:color="7B1E1E"/>
        </w:pBdr>
      </w:pPr>
      <w:r>
        <w:rPr>
          <w:i/>
          <w:sz w:val="21"/>
        </w:rPr>
        <w:t>« Lors des négociations avec Kabila père, devant Pascal Lissouba et Nelson Mandela, Mobutu refusait même de marcher sur le tapis rouge. Il disait : c'est trompeur. Pourtant Mandela, aussi vieux que lui, était obligé de le tenir pour l'aider à se lever. Voilà la récompense de la haute trahison. »</w:t>
      </w:r>
    </w:p>
    <w:p>
      <w:pPr>
        <w:widowControl w:val="1"/>
        <w:spacing w:before="0" w:after="200"/>
        <w:ind w:left="680" w:right="454"/>
        <w:keepLines w:val="1"/>
      </w:pPr>
      <w:r>
        <w:rPr>
          <w:i/>
          <w:sz w:val="19"/>
        </w:rPr>
        <w:t>— Dr. Rufin Viclère Mabiala, analyste panafricaniste</w:t>
      </w:r>
    </w:p>
    <w:p>
      <w:pPr>
        <w:widowControl w:val="1"/>
        <w:spacing w:after="120" w:line="312" w:lineRule="auto" w:before="40"/>
        <w:ind w:firstLine="283"/>
        <w:jc w:val="both"/>
      </w:pPr>
      <w:r>
        <w:t>**Le cas Mobutu** est le cas d'école. Pendant trois décennies, Mobutu Sese Seko a déstabilisé l'Angola, le Soudan, le Rwanda, l'Afrique du Sud contre l'ANC, le Centrafrique — à la demande de ses maîtres occidentaux et de la CIA. Il a pillé le Congo-Kinshasa de façon systématique, maintenu son peuple dans la misère, détourné des milliards vers des comptes en Suisse. Sa récompense : quand son cancer l'a frappé, la France a refusé de lui accorder un visa pour se soigner sur son territoire. Il est mort à Rabat, seul, dépouillé de ses illusions, loin du pays qu'il avait saccagé pour des patrons qui l'ont abandonné dès qu'il n'a plus été utile.</w:t>
      </w:r>
    </w:p>
    <w:p>
      <w:pPr>
        <w:widowControl w:val="1"/>
        <w:spacing w:after="120" w:line="312" w:lineRule="auto" w:before="40"/>
        <w:ind w:firstLine="283"/>
        <w:jc w:val="both"/>
      </w:pPr>
      <w:r>
        <w:t>Il existe une loi implacable dans l'histoire des relations entre l'impérialisme occidental et ses collaborateurs africains. Elle a été formulée simplement par le Dr. Rufin Viclère Mabiala : l'Occident utilise, puis jette. Comme des kleenex. Pire que des kleenex. La leçon a été écrite avec le sang de Mobutu, avec l'exil de Compaoré, avec la condamnation de Soro. Elle continue d'être ignorée par ceux qui croient que leur service fidèle les protégera du destin de leurs prédécesseurs.</w:t>
      </w:r>
    </w:p>
    <w:p>
      <w:pPr>
        <w:pStyle w:val="Titre2"/>
        <w:pageBreakBefore w:val="1"/>
        <w:keepNext w:val="1"/>
      </w:pPr>
      <w:r>
        <w:rPr>
          <w:rFonts w:ascii="Garamond" w:hAnsi="Garamond"/>
          <w:b w:val="0"/>
          <w:color w:val="1A1A2E"/>
          <w:sz w:val="28"/>
        </w:rPr>
        <w:t>Chapitre 13c — Ouattara, Compaoré, Mobutu : portraits de la trahison instrumentalisée</w:t>
      </w:r>
    </w:p>
    <w:p>
      <w:pPr>
        <w:widowControl w:val="1"/>
        <w:spacing w:before="160" w:after="160"/>
        <w:jc w:val="center"/>
      </w:pPr>
      <w:r>
        <w:rPr>
          <w:color w:val="7B1E1E"/>
        </w:rPr>
        <w:t>★ ★ ★</w:t>
      </w:r>
    </w:p>
    <w:p>
      <w:pPr>
        <w:widowControl w:val="1"/>
        <w:spacing w:after="120" w:line="312" w:lineRule="auto" w:before="40"/>
        <w:ind w:firstLine="283"/>
        <w:jc w:val="both"/>
      </w:pPr>
      <w:r>
        <w:t>Cet audio est la preuve que le Mali n'était pas paranoïaque en considérant ses voisins comme des menaces. C'est la preuve que l'étranglement économique documenté dans les chapitres précédents n'était pas une conséquence non voulue des sanctions CEDEAO — mais leur objectif explicite. Et c'est la preuve que la résistance de la transition malienne, pendant les mois les plus sombres des prix flambants et des salaires gelés, avait une dimension héroïque que les archives historiques finiront par reconnaître.</w:t>
      </w:r>
    </w:p>
    <w:p>
      <w:pPr>
        <w:widowControl w:val="1"/>
        <w:spacing w:after="120" w:line="312" w:lineRule="auto" w:before="40"/>
        <w:ind w:firstLine="283"/>
        <w:jc w:val="both"/>
      </w:pPr>
      <w:r>
        <w:t>La valeur analytique de cet audio dépasse le seul cas malien. Il documente en temps réel le mode opératoire de la subversion néocoloniale au XXIe siècle : non plus les soldats français à visage découvert, mais la coordination discrète entre présidents africains-relais, structures régionales instrumentalisées (CEDEAO), pression sur les banques commerciales, et étranglement financier orchestré depuis les capitales occidentales. La France n'a pas besoin d'intervenir directement. Elle a des hommes sur place — élus, respectables, assistants à des conférences à Bruxelles — qui font le travail à sa place.</w:t>
      </w:r>
    </w:p>
    <w:p>
      <w:pPr>
        <w:widowControl w:val="1"/>
        <w:spacing w:before="160" w:after="40"/>
        <w:ind w:left="680" w:right="454"/>
        <w:keepLines w:val="1"/>
        <w:pBdr>
          <w:left w:val="single" w:sz="32" w:space="14" w:color="7B1E1E"/>
        </w:pBdr>
      </w:pPr>
      <w:r>
        <w:rPr>
          <w:i/>
          <w:sz w:val="21"/>
        </w:rPr>
        <w:t>« On a deux sommets à Accra. Le premier... cela contraindra le Mali et la Guinée. »</w:t>
      </w:r>
    </w:p>
    <w:p>
      <w:pPr>
        <w:widowControl w:val="1"/>
        <w:spacing w:before="0" w:after="200"/>
        <w:ind w:left="680" w:right="454"/>
        <w:keepLines w:val="1"/>
      </w:pPr>
      <w:r>
        <w:rPr>
          <w:i/>
          <w:sz w:val="19"/>
        </w:rPr>
        <w:t>— Boubou Cissé / Alassane Ouattara, 17 février 2022 [audio intercepté]</w:t>
      </w:r>
    </w:p>
    <w:p>
      <w:pPr>
        <w:widowControl w:val="1"/>
        <w:spacing w:after="120" w:line="312" w:lineRule="auto" w:before="40"/>
        <w:ind w:firstLine="283"/>
        <w:jc w:val="both"/>
      </w:pPr>
      <w:r>
        <w:t>La fin de la conversation évoque deux sommets prévus à Accra pour « contraindre » le Mali et la Guinée — une référence explicite aux réunions de la CEDEAO qui allaient déboucher sur les sanctions. Cissé et Ouattara préparent leur participation à ces concertations avec la clarté d'hommes qui savent exactement quel objectif ils poursuivent. Le vocabulaire diplomatique des « sommets de médiation » recouvre ici une stratégie de renversement planifiée depuis Bruxelles, Dakar et Abidjan.</w:t>
      </w:r>
    </w:p>
    <w:p>
      <w:pPr>
        <w:widowControl w:val="1"/>
        <w:spacing w:after="120" w:line="312" w:lineRule="auto" w:before="40"/>
        <w:ind w:firstLine="283"/>
        <w:jc w:val="both"/>
      </w:pPr>
      <w:r>
        <w:t>Sur la Russie, Cissé adopte le discours occidental standard : les promesses russes ne se concrétisent pas, quelques biens matériels seulement, rien de décisif. Cette évaluation est celle de quelqu'un dont l'intérêt est précisément que la Russie échoue au Mali — et non d'un analyste neutre. La suite des événements contredit cette analyse : les forces maliennes associées à Wagner ont reconquis des territoires perdus depuis des années, repoussé plusieurs offensives terroristes majeures, et survécu à l'étranglement financier que cet appel avait pour but d'orchestrer.</w:t>
      </w:r>
    </w:p>
    <w:p>
      <w:pPr>
        <w:widowControl w:val="1"/>
        <w:spacing w:before="160" w:after="40"/>
        <w:ind w:left="680" w:right="454"/>
        <w:keepLines w:val="1"/>
        <w:pBdr>
          <w:left w:val="single" w:sz="32" w:space="14" w:color="7B1E1E"/>
        </w:pBdr>
      </w:pPr>
      <w:r>
        <w:rPr>
          <w:i/>
          <w:sz w:val="21"/>
        </w:rPr>
        <w:t>« Ils ont réussi à trouver un moyen de faire adhérer une bonne partie de la population à un combat que jusque-là le menu peuple ne menait pas — le combat contre la France, le combat contre la CEDEAO. Il y a un certain nombre de gens qui sont derrière eux pour ça. »</w:t>
      </w:r>
    </w:p>
    <w:p>
      <w:pPr>
        <w:widowControl w:val="1"/>
        <w:spacing w:before="0" w:after="200"/>
        <w:ind w:left="680" w:right="454"/>
        <w:keepLines w:val="1"/>
      </w:pPr>
      <w:r>
        <w:rPr>
          <w:i/>
          <w:sz w:val="19"/>
        </w:rPr>
        <w:t>— Boubou Cissé, 17 février 2022 [audio intercepté]</w:t>
      </w:r>
    </w:p>
    <w:p>
      <w:pPr>
        <w:widowControl w:val="1"/>
        <w:spacing w:after="120" w:line="312" w:lineRule="auto" w:before="40"/>
        <w:ind w:firstLine="283"/>
        <w:jc w:val="both"/>
      </w:pPr>
      <w:r>
        <w:t>L'extrait le plus révélateur porte sur la dynamique politique interne. Cissé reconnaît que la transition a réussi quelque chose que lui-même n'avait pas anticipé : fédérer une « bonne partie de la population » autour du « combat contre la France », contre la CEDEAO. C'est une concession analytique arrachée par la réalité — venant d'un opposant à la transition, elle vaut plus que tous les sondages commandités.</w:t>
      </w:r>
    </w:p>
    <w:p>
      <w:pPr>
        <w:widowControl w:val="1"/>
        <w:spacing w:after="120" w:line="312" w:lineRule="auto" w:before="40"/>
        <w:ind w:firstLine="283"/>
        <w:jc w:val="both"/>
      </w:pPr>
      <w:r>
        <w:t>La cartographie des pressions économiques exercées sur le Mali est détaillée avec précision dans cet échange. Les salaires n'ont pas été payés depuis deux ans et demi, selon Cissé. « Mille milliards de l'emprunt » sont bloqués. Les jeunes n'ont plus accès aux financements. Le vice-ministre des Finances a fait circuler une lettre de pression sur les banques. Les actionnaires sont sollicités. La Banque mondiale et la Banque africaine de développement sont évoquées comme leviers. Ce n'est pas une conversation d'analyse passive. C'est le pilotage actif d'un étranglement économique.</w:t>
      </w:r>
    </w:p>
    <w:p>
      <w:pPr>
        <w:widowControl w:val="1"/>
        <w:spacing w:before="160" w:after="40"/>
        <w:ind w:left="680" w:right="454"/>
        <w:keepLines w:val="1"/>
        <w:pBdr>
          <w:left w:val="single" w:sz="32" w:space="14" w:color="7B1E1E"/>
        </w:pBdr>
      </w:pPr>
      <w:r>
        <w:rPr>
          <w:i/>
          <w:sz w:val="21"/>
        </w:rPr>
        <w:t>« Malgré tout ce qu'on veut lui faire croire, la situation reste très difficile pour eux. Ça va être extrêmement difficile de tenir encore au pouvoir à quatre semaines financièrement. La pression est vraiment là, une pression réelle. Les prix ont flambé. Les denrées alimentaires, c'est difficile aujourd'hui de se procurer du riz à un prix normal, du sucre. »</w:t>
      </w:r>
    </w:p>
    <w:p>
      <w:pPr>
        <w:widowControl w:val="1"/>
        <w:spacing w:before="0" w:after="200"/>
        <w:ind w:left="680" w:right="454"/>
        <w:keepLines w:val="1"/>
      </w:pPr>
      <w:r>
        <w:rPr>
          <w:i/>
          <w:sz w:val="19"/>
        </w:rPr>
        <w:t>— Boubou Cissé, 17 février 2022 [audio intercepté, source : réseaux panafricanistes]</w:t>
      </w:r>
    </w:p>
    <w:p>
      <w:pPr>
        <w:widowControl w:val="1"/>
        <w:spacing w:after="120" w:line="312" w:lineRule="auto" w:before="40"/>
        <w:ind w:firstLine="283"/>
        <w:jc w:val="both"/>
      </w:pPr>
      <w:r>
        <w:t>Ouattara appelle depuis Bruxelles. Cissé est à Dakar. Ils évoquent d'emblée « le plan de la commission » — une structure de coordination non identifiée publiquement — en lien avec la situation au Mali et au Burkina Faso. Ils évaluent la résistance de la transition malienne avec la précision de stratèges analysant un adversaire :</w:t>
      </w:r>
    </w:p>
    <w:p>
      <w:pPr>
        <w:widowControl w:val="1"/>
        <w:spacing w:after="120" w:line="312" w:lineRule="auto" w:before="40"/>
        <w:ind w:firstLine="283"/>
        <w:jc w:val="both"/>
      </w:pPr>
      <w:r>
        <w:t>Le 17 février 2022, une conversation téléphonique entre Alassane Ouattara, président de la Côte d'Ivoire, et Boubou Cissé, ancien Premier ministre du Mali et figure de l'opposition à la transition, est interceptée et diffusée. Sa véracité n'est pas contestée par les protagonistes. Ce qui est contesté, c'est son interprétation. L'analyse froide du document ne laisse cependant que peu de place à l'ambiguïté.</w:t>
      </w:r>
    </w:p>
    <w:p>
      <w:pPr>
        <w:pStyle w:val="Titre2"/>
        <w:pageBreakBefore w:val="1"/>
        <w:keepNext w:val="1"/>
      </w:pPr>
      <w:r>
        <w:rPr>
          <w:rFonts w:ascii="Garamond" w:hAnsi="Garamond"/>
          <w:b w:val="0"/>
          <w:color w:val="1A1A2E"/>
          <w:sz w:val="28"/>
        </w:rPr>
        <w:t>Chapitre 13d — L'audio du 17 février 2022 : Ouattara et Boubou Cissé en flagrant délit de complot</w:t>
      </w:r>
    </w:p>
    <w:p w14:paraId="53A8A608"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widowControl w:val="1"/>
        <w:spacing w:after="120" w:line="312" w:lineRule="auto" w:before="40"/>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1 : les médias français</w:t>
      </w:r>
    </w:p>
    <w:p w14:paraId="7A07BB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Vecteur 2 : la guerre numérique</w:t>
      </w:r>
    </w:p>
    <w:p w14:paraId="3B23F81E" w14:textId="26FCEB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widowControl w:val="1"/>
        <w:pBdr>
          <w:bottom w:val="single" w:sz="4" w:space="2" w:color="888888"/>
        </w:pBdr>
        <w:spacing w:before="40" w:after="120" w:line="312" w:lineRule="auto"/>
        <w:jc w:val="both"/>
      </w:pPr>
      <w:r>
        <w:rPr>
          <w:rFonts w:ascii="Garamond" w:eastAsia="Arial" w:hAnsi="Garamond" w:cs="Arial"/>
          <w:b/>
          <w:bCs/>
          <w:color w:val="1A1A2E"/>
          <w:sz w:val="24"/>
          <w:szCs w:val="24"/>
        </w:rPr>
        <w:t>Mécanisme central : l’inversion causale</w:t>
      </w:r>
    </w:p>
    <w:p w14:paraId="3183B14D" w14:textId="773CCC5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widowControl w:val="1"/>
        <w:spacing w:after="120" w:line="312" w:lineRule="auto" w:before="40"/>
        <w:ind w:firstLine="283"/>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widowControl w:val="1"/>
        <w:spacing w:after="120" w:line="312" w:lineRule="auto" w:before="40"/>
        <w:ind w:firstLine="283"/>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FILS DE LIPTAKO-GOURMA</w:t>
      </w:r>
    </w:p>
    <w:p w14:paraId="2FFBEE7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widowControl w:val="1"/>
        <w:spacing w:after="120" w:line="312" w:lineRule="auto" w:before="40"/>
        <w:ind w:firstLine="283"/>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widowControl w:val="1"/>
        <w:spacing w:after="80" w:line="312" w:lineRule="auto"/>
        <w:ind w:left="2160" w:firstLine="720"/>
        <w:jc w:val="center"/>
        <w:rPr>
          <w:b/>
          <w:bCs/>
          <w:color w:val="D99594" w:themeColor="accent2" w:themeTint="99"/>
          <w:sz w:val="22"/>
          <w:szCs w:val="22"/>
        </w:rPr>
      </w:pPr>
      <w:r w:rsidRPr="00D61B0B">
        <w:rPr>
          <w:rFonts w:ascii="Garamond" w:hAnsi="Garamond"/>
          <w:b/>
          <w:bCs/>
          <w:color w:val="7B1E1E"/>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widowControl w:val="1"/>
        <w:spacing w:after="120" w:line="312" w:lineRule="auto" w:before="40"/>
        <w:ind w:firstLine="283"/>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widowControl w:val="1"/>
        <w:spacing w:after="80" w:line="312" w:lineRule="auto"/>
        <w:ind w:left="2160" w:firstLine="720"/>
        <w:jc w:val="center"/>
        <w:rPr>
          <w:color w:val="D99594" w:themeColor="accent2" w:themeTint="99"/>
        </w:rPr>
      </w:pPr>
      <w:r w:rsidRPr="00D234DF">
        <w:rPr>
          <w:rFonts w:ascii="Garamond" w:hAnsi="Garamond"/>
          <w:b/>
          <w:bCs/>
          <w:color w:val="7B1E1E"/>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16 — Mali : la première rupture</w:t>
      </w:r>
    </w:p>
    <w:p w14:paraId="6854F5D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Le Mali est et restera Un et Indivisible. »</w:t>
      </w:r>
    </w:p>
    <w:p w14:paraId="0709DC4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Les impérialistes ont décidé que nous devions mourir. Nous, nous avons décidé de vivre. C’est tout le débat. »</w:t>
      </w:r>
    </w:p>
    <w:p w14:paraId="349C617C"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1E2961DF"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Capitaine Ibrahim Traoré, Ibrahim Traoré, président du Faso, 2023</w:t>
      </w:r>
    </w:p>
    <w:p w14:paraId="6E5491B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pPr>
              <w:spacing w:before="280"/>
            </w:pPr>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1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widowControl w:val="1"/>
        <w:spacing w:after="200" w:line="264" w:lineRule="auto"/>
        <w:ind w:left="680" w:right="700"/>
        <w:keepLines w:val="1"/>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pPr>
        <w:widowControl w:val="1"/>
        <w:spacing w:before="160" w:after="160"/>
        <w:jc w:val="center"/>
      </w:pPr>
      <w:r>
        <w:rPr>
          <w:color w:val="7B1E1E"/>
        </w:rPr>
        <w:t>★ ★ ★</w:t>
      </w:r>
    </w:p>
    <w:p>
      <w:pPr>
        <w:widowControl w:val="1"/>
        <w:spacing w:before="160" w:after="40"/>
        <w:ind w:left="680" w:right="454"/>
        <w:keepLines w:val="1"/>
        <w:pBdr>
          <w:left w:val="single" w:sz="32" w:space="14" w:color="7B1E1E"/>
        </w:pBdr>
      </w:pPr>
      <w:r>
        <w:rPr>
          <w:i/>
          <w:sz w:val="21"/>
        </w:rPr>
        <w:t>« Restons vigilants. »</w:t>
      </w:r>
    </w:p>
    <w:p>
      <w:pPr>
        <w:widowControl w:val="1"/>
        <w:spacing w:before="0" w:after="200"/>
        <w:ind w:left="680" w:right="454"/>
        <w:keepLines w:val="1"/>
      </w:pPr>
      <w:r>
        <w:rPr>
          <w:i/>
          <w:sz w:val="19"/>
        </w:rPr>
        <w:t>— Général Abdourahamane Tiani, 13 novembre 2025</w:t>
      </w:r>
    </w:p>
    <w:p>
      <w:pPr>
        <w:widowControl w:val="1"/>
        <w:spacing w:before="160" w:after="40"/>
        <w:ind w:left="680" w:right="454"/>
        <w:keepLines w:val="1"/>
        <w:pBdr>
          <w:left w:val="single" w:sz="32" w:space="14" w:color="7B1E1E"/>
        </w:pBdr>
      </w:pPr>
      <w:r>
        <w:rPr>
          <w:i/>
          <w:sz w:val="21"/>
        </w:rPr>
        <w:t>« L'accord avait été imposé unilatéralement à Issoufou en 2012, sans consultation de l'Assemblée nationale. Le Niger payait les taxes des avions américains. Les autorités nigériennes n'avaient aucune information sur les activités militaires menées à partir des bases. L'armée américaine n'avait aucune obligation d'appui contre les groupes terroristes qui massacraient les populations. »</w:t>
      </w:r>
    </w:p>
    <w:p>
      <w:pPr>
        <w:widowControl w:val="1"/>
        <w:spacing w:before="0" w:after="200"/>
        <w:ind w:left="680" w:right="454"/>
        <w:keepLines w:val="1"/>
      </w:pPr>
      <w:r>
        <w:rPr>
          <w:i/>
          <w:sz w:val="19"/>
        </w:rPr>
        <w:t>— CNSP Niger, communiqué public, RTN, 16 mars 2024 ; Nathalie Yamb, analyse, mars 2024</w:t>
      </w:r>
    </w:p>
    <w:p>
      <w:pPr>
        <w:widowControl w:val="1"/>
        <w:spacing w:after="120" w:line="312" w:lineRule="auto" w:before="40"/>
        <w:ind w:firstLine="283"/>
        <w:jc w:val="both"/>
      </w:pPr>
      <w:r>
        <w:t>Les termes révélés par le CNSP sont d'une violence institutionnelle rarement exposée si clairement. Le Niger payait les taxes des avions militaires américains dont ces derniers étaient normalement redevables eux-mêmes. Les autorités nigériennes n'avaient aucune information sur les activités militaires menées depuis les bases installées sur leur propre territoire. L'armée américaine n'avait aucune obligation contractuelle d'appui contre les groupes terroristes qui massacraient les populations nigériennes. Plus de 1 100 soldats, trois bases, plusieurs centaines de millions de dollars par an depuis 2012 — dont la base drone d'Agadez, présentée dans la presse américaine spécialisée comme « la base de drones la plus chère jamais construite par les États-Unis ».</w:t>
      </w:r>
    </w:p>
    <w:p>
      <w:pPr>
        <w:widowControl w:val="1"/>
        <w:spacing w:after="120" w:line="312" w:lineRule="auto" w:before="40"/>
        <w:ind w:firstLine="283"/>
        <w:jc w:val="both"/>
      </w:pPr>
      <w:r>
        <w:t>En mars 2024, le CNSP nigérien expose publiquement ce que les Nigériens n'avaient jamais eu le droit de savoir. L'accord de stationnement des forces militaires américaines au Niger avait été imposé unilatéralement à Mahamadou Issoufou en 2012 — sans consultation de l'Assemblée nationale, sans débat public, sans mandat populaire. Un accord entre gouvernements, signé dans le dos d'un peuple souverain.</w:t>
      </w:r>
    </w:p>
    <w:p>
      <w:pPr>
        <w:pStyle w:val="Titre2"/>
        <w:pageBreakBefore w:val="1"/>
        <w:keepNext w:val="1"/>
      </w:pPr>
      <w:r>
        <w:rPr>
          <w:rFonts w:ascii="Garamond" w:hAnsi="Garamond"/>
          <w:b w:val="0"/>
          <w:color w:val="1A1A2E"/>
          <w:sz w:val="28"/>
        </w:rPr>
        <w:t>Chapitre 18b — La base d'Agadez : un accord imposé sans le consentement du Niger</w:t>
      </w:r>
    </w:p>
    <w:p w14:paraId="27C422AD"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pPr>
              <w:spacing w:before="280"/>
            </w:pPr>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1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widowControl w:val="1"/>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5101795A" w14:textId="77777777" w:rsidR="006E716F" w:rsidRDefault="00000000">
      <w:r>
        <w:lastRenderedPageBreak/>
        <w:br w:type="page"/>
      </w:r>
    </w:p>
    <w:p w14:paraId="40994DDB"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GÉOPOLITIQUE DE LA RUPTURE</w:t>
      </w:r>
    </w:p>
    <w:p w14:paraId="1DB2D30E"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21 — L’Algérie : médiateur ambigu</w:t>
      </w:r>
    </w:p>
    <w:p w14:paraId="0954000D"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pPr>
        <w:widowControl w:val="1"/>
        <w:spacing w:before="160" w:after="160"/>
        <w:jc w:val="center"/>
      </w:pPr>
      <w:r>
        <w:rPr>
          <w:color w:val="7B1E1E"/>
        </w:rPr>
        <w:t>★ ★ ★</w:t>
      </w:r>
    </w:p>
    <w:p>
      <w:pPr>
        <w:widowControl w:val="1"/>
        <w:spacing w:before="160" w:after="40"/>
        <w:ind w:left="680" w:right="454"/>
        <w:keepLines w:val="1"/>
        <w:pBdr>
          <w:left w:val="single" w:sz="32" w:space="14" w:color="7B1E1E"/>
        </w:pBdr>
      </w:pPr>
      <w:r>
        <w:rPr>
          <w:i/>
          <w:sz w:val="21"/>
        </w:rPr>
        <w:t>«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 »</w:t>
      </w:r>
    </w:p>
    <w:p>
      <w:pPr>
        <w:widowControl w:val="1"/>
        <w:spacing w:before="0" w:after="200"/>
        <w:ind w:left="680" w:right="454"/>
        <w:keepLines w:val="1"/>
      </w:pPr>
      <w:r>
        <w:rPr>
          <w:i/>
          <w:sz w:val="19"/>
        </w:rPr>
        <w:t>— Nathalie Yamb, analyste géopolitique, avril 2025</w:t>
      </w:r>
    </w:p>
    <w:p>
      <w:pPr>
        <w:widowControl w:val="1"/>
        <w:spacing w:after="120" w:line="312" w:lineRule="auto" w:before="40"/>
        <w:ind w:firstLine="283"/>
        <w:jc w:val="both"/>
      </w:pPr>
      <w:r>
        <w:t>Le 22 mars 2026, lors de la réunion de la Ligue Arabe, le Mali reconnaît la souveraineté marocaine sur le Sahara occidental. Alger — dont la politique étrangère est structurée autour du soutien au Front Polisario — reçoit ce choix comme un camouflet géopolitique majeur. Quatre semaines plus tard, le 25 avril 2026, surviennent les attaques coordonnées les plus meurtrières contre les forces de l'AES. Iyad Ag Ghali, chef du JNIM qui revendique les attaques, entretient des liens historiques documentés avec les services algériens. La question analytique reste ouverte. Elle ne peut pas être fermée par le déni ou l'affirmation. Elle exige une réponse judiciaire et diplomatique que l'histoire devra trancher.</w:t>
      </w:r>
    </w:p>
    <w:p>
      <w:pPr>
        <w:widowControl w:val="1"/>
        <w:spacing w:after="120" w:line="312" w:lineRule="auto" w:before="40"/>
        <w:ind w:firstLine="283"/>
        <w:jc w:val="both"/>
      </w:pPr>
      <w:r>
        <w:t>La nuit du 31 mars au 1er avril 2025 cristallise cette relation dans sa forme la plus concrète. L'armée algérienne abat un drone des Forces Armées du Mali — sur sol malien, à 10 kilomètres de la frontière, comme l'établissent les données GPS de l'aéronef. Ce même 31 mars, Tebboune et Macron ont une conversation téléphonique dont le communiqué conjoint évoque leurs « intérêts stratégiques et de sécurité respectifs ». La synchronisation est documentée. Alger tire sur un drone malien le jour même où Alger et Paris s'entendent sur leurs intérêts communs dans la région.</w:t>
      </w:r>
    </w:p>
    <w:p>
      <w:pPr>
        <w:widowControl w:val="1"/>
        <w:spacing w:before="160" w:after="40"/>
        <w:ind w:left="680" w:right="454"/>
        <w:keepLines w:val="1"/>
        <w:pBdr>
          <w:left w:val="single" w:sz="32" w:space="14" w:color="7B1E1E"/>
        </w:pBdr>
      </w:pPr>
      <w:r>
        <w:rPr>
          <w:i/>
          <w:sz w:val="21"/>
        </w:rPr>
        <w:t>«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widowControl w:val="1"/>
        <w:spacing w:before="0" w:after="200"/>
        <w:ind w:left="680" w:right="454"/>
        <w:keepLines w:val="1"/>
      </w:pPr>
      <w:r>
        <w:rPr>
          <w:i/>
          <w:sz w:val="19"/>
        </w:rPr>
        <w:t>— Albert Anatole Ayissi, Forum Media Africa</w:t>
      </w:r>
    </w:p>
    <w:p>
      <w:pPr>
        <w:widowControl w:val="1"/>
        <w:spacing w:after="120" w:line="312" w:lineRule="auto" w:before="40"/>
        <w:ind w:firstLine="283"/>
        <w:jc w:val="both"/>
      </w:pPr>
      <w:r>
        <w:t>Les preuves documentaires ne viennent pas de militants panafricanistes. Elles viennent de la propre correspondance d'Hillary Clinton. Des emails déclassifiés du 18 janvier 2013, échangés entre la secrétaire d'État américaine et son conseiller Sydney Blumenthal, accessibles sur Wikileaks, établissent que le gouvernement Bouteflika avait conclu un accord très secret avec le terroriste Belmokhtar après l'enlèvement en avril 2012 du consul algérien à Gao : Belmokhtar concentrerait ses opérations au Mali, avec l'encouragement du renseignement algérien. Alger utilisait les djihadistes maliens comme variable d'ajustement dans ses propres calculs stratégiques.</w:t>
      </w:r>
    </w:p>
    <w:p>
      <w:pPr>
        <w:widowControl w:val="1"/>
        <w:spacing w:after="120" w:line="312" w:lineRule="auto" w:before="40"/>
        <w:ind w:firstLine="283"/>
        <w:jc w:val="both"/>
      </w:pPr>
      <w:r>
        <w:t>Il existe un renversement historique que l'analyse sèche des données contemporaines ne permet pas de saisir sans retourner soixante ans en arrière. Le FLN algérien a utilisé le Mali de Modibo Keïta comme base arrière pour combattre la France coloniale. Une délégation algérienne est venue à Bamako remettre un drapeau et un poignard à Modibo Keïta en signe de gratitude fraternelle. Le Mali a payé en sang et en risque politique pour la liberté de l'Algérie. L'Algérie d'aujourd'hui retourne ses armes contre le Mali qui combat pour sa propre indépendance. C'est une trahison de civilisation.</w:t>
      </w:r>
    </w:p>
    <w:p>
      <w:pPr>
        <w:pStyle w:val="Titre2"/>
        <w:pageBreakBefore w:val="1"/>
        <w:keepNext w:val="1"/>
      </w:pPr>
      <w:r>
        <w:rPr>
          <w:rFonts w:ascii="Garamond" w:hAnsi="Garamond"/>
          <w:b w:val="0"/>
          <w:color w:val="1A1A2E"/>
          <w:sz w:val="28"/>
        </w:rPr>
        <w:t>Chapitre 21b — L'Algérie et le Mali : de la fraternité anticoloniale à la trahison</w:t>
      </w:r>
    </w:p>
    <w:p w14:paraId="3EBE9BE9"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29A19E0" w14:textId="77777777" w:rsidR="006E716F" w:rsidRDefault="00516243">
            <w:pPr>
              <w:spacing w:before="280"/>
            </w:pPr>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1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Depuis plus de 60 ans de coopération, la Centrafrique reste toujours le dernier des derniers pays francophones au monde. »</w:t>
      </w:r>
    </w:p>
    <w:p w14:paraId="0D4EF687"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4ADCA266"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Fridolin Ngoulou, analyste centrafricain, Oubangui Médias</w:t>
      </w:r>
    </w:p>
    <w:p w14:paraId="295459DC"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1A1A2E"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spacing w:before="280"/>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1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widowControl w:val="1"/>
        <w:pBdr>
          <w:bottom w:val="single" w:sz="4" w:space="2" w:color="888888"/>
        </w:pBdr>
        <w:spacing w:before="40" w:after="120" w:line="312" w:lineRule="auto"/>
        <w:ind w:firstLine="283"/>
        <w:jc w:val="both"/>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widowControl w:val="1"/>
        <w:spacing w:after="120" w:line="312" w:lineRule="auto" w:before="40"/>
        <w:ind w:firstLine="283"/>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pPr>
              <w:spacing w:before="280"/>
            </w:pPr>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1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ind w:firstLine="283"/>
        <w:jc w:val="both"/>
      </w:pPr>
      <w:r>
        <w:t>La visite de Tiani à Ankara envoie un message à Paris, Washington et à l'ensemble de l'architecture sécuritaire occidentale en Afrique : la dépendance militaire africaine n'est pas une fatalité. Il existe des fournisseurs compétents, financièrement accessibles, capables de former et de soutenir les forces armées africaines sans exiger en échange des concessions politiques ou la mise en place de régimes favorables aux intérêts de l'ex-puissance coloniale. Le marché de la sécurité africaine est en train de se multipolariser. C'est peut-être la transformation géopolitique la plus immédiatement concrète de toute la rupture AES.</w:t>
      </w:r>
    </w:p>
    <w:p>
      <w:pPr>
        <w:widowControl w:val="1"/>
        <w:spacing w:after="120" w:line="312" w:lineRule="auto" w:before="40"/>
        <w:ind w:firstLine="283"/>
        <w:jc w:val="both"/>
      </w:pPr>
      <w:r>
        <w:t>Le positionnement d'Erdoğan dans le Sahel s'inscrit dans une stratégie globale de puissance moyenne non alignée. La Turquie est membre de l'OTAN mais maintient des relations commerciales et militaires substantielles avec la Russie. Elle siège au Conseil de l'Europe mais refuse de sanctionner Moscou. Elle vend des TB2 à l'Ukraine et maintient un canal de dialogue ouvert avec Poutine. Cette ambiguïté calculée n'est pas de la duplicité — c'est de la souveraineté assumée. Et c'est précisément ce que les pays de l'AES cherchent à construire pour eux-mêmes : la capacité de choisir leurs partenaires en fonction de leurs intérêts, sans allégeance prédéfinie à un bloc.</w:t>
      </w:r>
    </w:p>
    <w:p>
      <w:pPr>
        <w:widowControl w:val="1"/>
        <w:spacing w:before="160" w:after="40"/>
        <w:ind w:left="680" w:right="454"/>
        <w:keepLines w:val="1"/>
        <w:pBdr>
          <w:left w:val="single" w:sz="32" w:space="14" w:color="7B1E1E"/>
        </w:pBdr>
      </w:pPr>
      <w:r>
        <w:rPr>
          <w:i/>
          <w:sz w:val="21"/>
        </w:rPr>
        <w:t>« Le Niger a considérablement renforcé son arsenal avec des équipements turcs : drones armés Bayraktar TB2, véhicules blindés, systèmes de surveillance et de reconnaissance. La Turquie s'est positionnée comme un partenaire de défense crucial, avec une approche qualifiée d'inhabituelle par ses facilités de paiement et sa livraison avant règlement financier. »</w:t>
      </w:r>
    </w:p>
    <w:p>
      <w:pPr>
        <w:widowControl w:val="1"/>
        <w:spacing w:before="0" w:after="200"/>
        <w:ind w:left="680" w:right="454"/>
        <w:keepLines w:val="1"/>
      </w:pPr>
      <w:r>
        <w:rPr>
          <w:i/>
          <w:sz w:val="19"/>
        </w:rPr>
        <w:t>— Rapport stratégique Turquie-Sahel, juin 2026</w:t>
      </w:r>
    </w:p>
    <w:p>
      <w:pPr>
        <w:widowControl w:val="1"/>
        <w:spacing w:after="120" w:line="312" w:lineRule="auto" w:before="40"/>
        <w:ind w:firstLine="283"/>
        <w:jc w:val="both"/>
      </w:pPr>
      <w:r>
        <w:t>La dimension énergétique de l'accord n'est pas annexe. La Turquie, à travers TPAO (Turkish Petroleum Corporation) et d'autres opérateurs, cherche à diversifier ses approvisionnements énergétiques hors dépendance russe et à construire des positions dans des bassins d'hydrocarbures africains encore sous-exploités. Le Niger dispose de réserves pétrolières significatives dans le bassin d'Agadem, dont l'exploitation a longtemps été dominée par des acteurs chinois (CNPC) et occidentaux. Une présence turque dans le secteur énergétique nigérien s'inscrit dans la logique d'un Niger cherchant à multiplier ses partenaires pour éviter de troquer une dépendance contre une autre.</w:t>
      </w:r>
    </w:p>
    <w:p>
      <w:pPr>
        <w:widowControl w:val="1"/>
        <w:spacing w:after="120" w:line="312" w:lineRule="auto" w:before="40"/>
        <w:ind w:firstLine="283"/>
        <w:jc w:val="both"/>
      </w:pPr>
      <w:r>
        <w:t>La coopération en matière de renseignement et de formation a précédé le sommet de juin 2026. Dès juillet 2024, une opération renforcée avait été lancée dans ces deux secteurs, définissant les termes d'une relation qui allait bien au-delà de la vente d'armes. En 2025, un accord de coopération militaire financière a élargi l'accès des forces nigériennes aux technologies turques. La formation en Turquie de pilotes et d'opérateurs nigériens sur les systèmes TB2 crée une communauté de pratique qui reproduit le modèle OTAN — la dépendance technique crée une relation durable — mais sans la subordination politique.</w:t>
      </w:r>
    </w:p>
    <w:p>
      <w:pPr>
        <w:widowControl w:val="1"/>
        <w:spacing w:after="120" w:line="312" w:lineRule="auto" w:before="40"/>
        <w:ind w:firstLine="283"/>
        <w:jc w:val="both"/>
      </w:pPr>
      <w:r>
        <w:t>Le Bayraktar TB2 est au cœur de cette alliance. Ce drone armé — conçu par l'entreprise Baykar, fondée par la famille d'Erdoğan — a fait ses preuves dans les conflits en Libye (2019-2020), au Haut-Karabakh (2020) et en Ukraine (2022). Dans les trois cas, il a démontré sa capacité à modifier radicalement les rapports de force sur le terrain avec un coût d'acquisition incomparablement inférieur aux systèmes occidentaux équivalents. Pour le Niger et ses voisins de l'AES confrontés à des groupes armés mobiles dans des espaces désertiques immenses, le TB2 représente une capacité de surveillance et de frappe de précision que ni la France ni les États-Unis n'avaient réellement partagée pendant leurs décennies de présence.</w:t>
      </w:r>
    </w:p>
    <w:p>
      <w:pPr>
        <w:widowControl w:val="1"/>
        <w:spacing w:after="120" w:line="312" w:lineRule="auto" w:before="40"/>
        <w:ind w:firstLine="283"/>
        <w:jc w:val="both"/>
      </w:pPr>
      <w:r>
        <w:t>La décision d'Erdoğan de livrer les équipements militaires avant paiement est un signal diplomatique d'une puissance symbolique considérable. La France exigeait des contreparties politiques avant de livrer quoi que ce soit. Les États-Unis conditionnent leur aide militaire à des certifications de droits de l'homme et à des votes onusiens. La Turquie livre d'abord et fait confiance ensuite. Dans un contexte où le Niger vient d'expulser les forces françaises et américaines et cherche des partenaires de substitution urgents, ce geste signifie : vous n'avez pas à hypothéquer votre souveraineté pour obtenir ce dont vous avez besoin.</w:t>
      </w:r>
    </w:p>
    <w:p>
      <w:pPr>
        <w:widowControl w:val="1"/>
        <w:spacing w:before="160" w:after="40"/>
        <w:ind w:left="680" w:right="454"/>
        <w:keepLines w:val="1"/>
        <w:pBdr>
          <w:left w:val="single" w:sz="32" w:space="14" w:color="7B1E1E"/>
        </w:pBdr>
      </w:pPr>
      <w:r>
        <w:rPr>
          <w:i/>
          <w:sz w:val="21"/>
        </w:rPr>
        <w:t>« Le président Erdoğan a personnellement demandé aux industries de défense turques de livrer du matériel militaire au Niger avant même le paiement, en accordant des facilités financières à Niamey. »</w:t>
      </w:r>
    </w:p>
    <w:p>
      <w:pPr>
        <w:widowControl w:val="1"/>
        <w:spacing w:before="0" w:after="200"/>
        <w:ind w:left="680" w:right="454"/>
        <w:keepLines w:val="1"/>
      </w:pPr>
      <w:r>
        <w:rPr>
          <w:i/>
          <w:sz w:val="19"/>
        </w:rPr>
        <w:t>— Rapport sur les relations stratégiques Turquie-Sahel, juin 2026</w:t>
      </w:r>
    </w:p>
    <w:p>
      <w:pPr>
        <w:widowControl w:val="1"/>
        <w:spacing w:after="120" w:line="312" w:lineRule="auto" w:before="40"/>
        <w:ind w:firstLine="283"/>
        <w:jc w:val="both"/>
      </w:pPr>
      <w:r>
        <w:t>La liste des accords signés lors de cette visite couvre cinq domaines : défense, sécurité, énergie, formation et infrastructures. Ce spectre large n'est pas fortuit. La doctrine turque en Afrique, affinée depuis les premières ouvertures d'ambassades d'Erdoğan dans les années 2010, repose sur une approche totale : s'implanter à la fois dans les secteurs régaliens (défense, sécurité) et dans les secteurs structurants (énergie, formation). L'objectif est de créer une dépendance technique et humaine à long terme, sans les stigmates politiques du colonialisme.</w:t>
      </w:r>
    </w:p>
    <w:p>
      <w:pPr>
        <w:widowControl w:val="1"/>
        <w:spacing w:after="120" w:line="312" w:lineRule="auto" w:before="40"/>
        <w:ind w:firstLine="283"/>
        <w:jc w:val="both"/>
      </w:pPr>
      <w:r>
        <w:t>Le 4 juin 2026, le général Abdourahamane Tiani effectue sa première grande visite officielle à Ankara. Erdoğan le reçoit avec les honneurs. La rencontre est historique pour deux raisons : d'abord parce qu'elle consacre une relation bilatérale construite patiemment depuis 2023, ensuite parce qu'elle cristallise une stratégie turque en Afrique radicalement différente du modèle occidental. La Turquie ne vient pas avec des conditions politiques. Elle ne demande pas de bases militaires. Elle n'impose pas de modèles économiques. Elle vend, forme, construit — et elle attend d'être payée sans humilier.</w:t>
      </w:r>
    </w:p>
    <w:p>
      <w:pPr>
        <w:pStyle w:val="Titre2"/>
        <w:pageBreakBefore w:val="1"/>
        <w:keepNext w:val="1"/>
      </w:pPr>
      <w:r>
        <w:rPr>
          <w:rFonts w:ascii="Garamond" w:hAnsi="Garamond"/>
          <w:b w:val="0"/>
          <w:color w:val="1A1A2E"/>
          <w:sz w:val="28"/>
        </w:rPr>
        <w:t>Chapitre 22b — La Turquie et le Sahel : Erdoğan, les Bayraktar et la diplomatie du partenaire non-colonial</w:t>
      </w:r>
    </w:p>
    <w:p w14:paraId="261C014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widowControl w:val="1"/>
        <w:ind w:left="2160" w:firstLine="720"/>
        <w:jc w:val="center"/>
      </w:pPr>
      <w:r w:rsidRPr="0010645E">
        <w:rPr>
          <w:rFonts w:ascii="Garamond" w:hAnsi="Garamond" w:cs="Garamond"/>
          <w:color w:val="7B1E1E"/>
        </w:rPr>
        <w:t>★ ★ ★</w:t>
      </w:r>
      <w:r w:rsidRPr="0010645E">
        <w:rPr>
          <w:color w:val="D99594" w:themeColor="accent2" w:themeTint="99"/>
        </w:rPr>
      </w:r>
      <w:r w:rsidRPr="0010645E">
        <w:rPr>
          <w:rFonts w:ascii="Garamond" w:hAnsi="Garamond" w:cs="Garamond"/>
          <w:color w:val="D99594" w:themeColor="accent2" w:themeTint="99"/>
        </w:rPr>
      </w:r>
      <w:r w:rsidRPr="0010645E">
        <w:rPr>
          <w:color w:val="D99594" w:themeColor="accent2" w:themeTint="99"/>
        </w:rPr>
      </w:r>
      <w:r w:rsidRPr="0010645E">
        <w:rPr>
          <w:rFonts w:ascii="Garamond" w:hAnsi="Garamond" w:cs="Garamond"/>
          <w:color w:val="D99594" w:themeColor="accent2" w:themeTint="99"/>
        </w:rPr>
      </w:r>
      <w:r/>
    </w:p>
    <w:p w14:paraId="16A4904E" w14:textId="77777777" w:rsidR="006E716F" w:rsidRDefault="00000000">
      <w:r>
        <w:lastRenderedPageBreak/>
        <w:br w:type="page"/>
      </w:r>
    </w:p>
    <w:p w14:paraId="4240AFD7"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LA GUERRE PROXY</w:t>
      </w:r>
    </w:p>
    <w:p w14:paraId="02FE5EFC"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 — L’armée fantôme de Paris</w:t>
      </w:r>
    </w:p>
    <w:p w14:paraId="423334F5"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pPr>
              <w:spacing w:before="280"/>
            </w:pPr>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1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widowControl w:val="1"/>
        <w:spacing w:after="120" w:line="312" w:lineRule="auto" w:before="40"/>
        <w:ind w:left="720" w:right="720" w:firstLine="283"/>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widowControl w:val="1"/>
        <w:spacing w:after="200" w:line="312" w:lineRule="auto"/>
        <w:ind w:left="680" w:right="720"/>
        <w:jc w:val="both"/>
        <w:rPr>
          <w:sz w:val="18"/>
          <w:szCs w:val="18"/>
        </w:rPr>
        <w:keepLines w:val="1"/>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widowControl w:val="1"/>
        <w:spacing w:after="120" w:line="312" w:lineRule="auto" w:before="40"/>
        <w:ind w:left="720" w:firstLine="283"/>
        <w:jc w:val="both"/>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widowControl w:val="1"/>
        <w:spacing w:after="200" w:line="288" w:lineRule="auto"/>
        <w:ind w:left="680" w:right="454"/>
        <w:jc w:val="right"/>
        <w:rPr>
          <w:rFonts w:ascii="Garamond" w:eastAsia="Arial" w:hAnsi="Garamond" w:cs="Arial"/>
          <w:i/>
          <w:iCs/>
          <w:sz w:val="18"/>
          <w:szCs w:val="18"/>
        </w:rPr>
        <w:keepLines w:val="1"/>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widowControl w:val="1"/>
        <w:spacing w:after="120" w:line="312" w:lineRule="auto" w:before="40"/>
        <w:ind w:left="720" w:firstLine="283"/>
        <w:jc w:val="both"/>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widowControl w:val="1"/>
        <w:spacing w:after="200" w:line="288" w:lineRule="auto"/>
        <w:ind w:left="680" w:right="454"/>
        <w:jc w:val="right"/>
        <w:rPr>
          <w:rFonts w:ascii="Garamond" w:hAnsi="Garamond"/>
          <w:i/>
          <w:iCs/>
          <w:sz w:val="18"/>
          <w:szCs w:val="18"/>
        </w:rPr>
        <w:keepLines w:val="1"/>
      </w:pPr>
      <w:r w:rsidRPr="00D61B0B">
        <w:rPr>
          <w:rFonts w:ascii="Garamond" w:eastAsia="Arial" w:hAnsi="Garamond" w:cs="Arial"/>
          <w:i/>
          <w:iCs/>
          <w:sz w:val="19"/>
          <w:szCs w:val="18"/>
        </w:rPr>
        <w:t>— Nathalie Yamb, sur Human Rights Watch</w:t>
      </w:r>
    </w:p>
    <w:p w14:paraId="002DD532"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widowControl w:val="1"/>
        <w:spacing w:after="80" w:line="312" w:lineRule="auto"/>
        <w:jc w:val="center"/>
      </w:pPr>
      <w:r>
        <w:rPr>
          <w:rFonts w:ascii="Garamond" w:hAnsi="Garamond"/>
          <w:color w:val="7B1E1E"/>
          <w:sz w:val="22"/>
        </w:rPr>
        <w:t>★ ★ ★</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keepNext w:val="1"/>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widowControl w:val="1"/>
        <w:spacing w:after="120" w:line="312" w:lineRule="auto" w:before="40"/>
        <w:jc w:val="both"/>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widowControl w:val="1"/>
        <w:spacing w:after="200" w:line="288" w:lineRule="auto"/>
        <w:ind w:left="680" w:right="454"/>
        <w:jc w:val="right"/>
        <w:rPr>
          <w:rFonts w:ascii="Garamond" w:eastAsia="Arial" w:hAnsi="Garamond" w:cs="Arial"/>
          <w:i/>
          <w:iCs/>
          <w:sz w:val="18"/>
          <w:szCs w:val="18"/>
        </w:rPr>
        <w:keepLines w:val="1"/>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widowControl w:val="1"/>
        <w:spacing w:after="120" w:line="312" w:lineRule="auto" w:before="40"/>
        <w:ind w:firstLine="283"/>
        <w:jc w:val="both"/>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widowControl w:val="1"/>
        <w:spacing w:after="80" w:line="312" w:lineRule="auto"/>
        <w:jc w:val="center"/>
      </w:pPr>
      <w:r>
        <w:rPr>
          <w:rFonts w:ascii="Garamond" w:hAnsi="Garamond"/>
          <w:color w:val="7B1E1E"/>
          <w:sz w:val="22"/>
        </w:rPr>
        <w:t>★ ★ ★</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widowControl w:val="1"/>
        <w:spacing w:after="120" w:line="312" w:lineRule="auto" w:before="40"/>
        <w:jc w:val="both"/>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widowControl w:val="1"/>
        <w:spacing w:after="120" w:line="312" w:lineRule="auto" w:before="40"/>
        <w:ind w:left="720" w:firstLine="283"/>
        <w:jc w:val="both"/>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widowControl w:val="1"/>
        <w:spacing w:after="200" w:line="288" w:lineRule="auto"/>
        <w:ind w:left="680" w:right="454"/>
        <w:jc w:val="right"/>
        <w:rPr>
          <w:i/>
          <w:iCs/>
          <w:sz w:val="18"/>
          <w:szCs w:val="18"/>
        </w:rPr>
        <w:keepLines w:val="1"/>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widowControl w:val="1"/>
        <w:spacing w:after="200" w:line="288" w:lineRule="auto"/>
        <w:ind w:left="680" w:right="454"/>
        <w:jc w:val="right"/>
        <w:rPr>
          <w:rFonts w:ascii="Garamond" w:hAnsi="Garamond"/>
          <w:i/>
          <w:iCs/>
          <w:sz w:val="18"/>
          <w:szCs w:val="18"/>
        </w:rPr>
        <w:keepLines w:val="1"/>
      </w:pPr>
      <w:r w:rsidRPr="00D61B0B">
        <w:rPr>
          <w:rFonts w:ascii="Garamond" w:eastAsia="Arial" w:hAnsi="Garamond" w:cs="Arial"/>
          <w:i/>
          <w:iCs/>
          <w:sz w:val="19"/>
          <w:szCs w:val="18"/>
        </w:rPr>
        <w:t>— Jonathan Batenguène, Panafrican Média TV, 10 mai 2026</w:t>
      </w:r>
    </w:p>
    <w:p w14:paraId="047E8E7E" w14:textId="77777777" w:rsidR="0028409C" w:rsidRDefault="00000000">
      <w:pPr>
        <w:widowControl w:val="1"/>
        <w:spacing w:after="80" w:line="312" w:lineRule="auto"/>
        <w:jc w:val="center"/>
      </w:pPr>
      <w:r>
        <w:rPr>
          <w:rFonts w:ascii="Garamond" w:hAnsi="Garamond"/>
          <w:color w:val="7B1E1E"/>
          <w:sz w:val="22"/>
        </w:rPr>
        <w:t>★ ★ ★</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keepNext w:val="1"/>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widowControl w:val="1"/>
        <w:spacing w:after="120" w:line="312" w:lineRule="auto" w:before="40"/>
        <w:jc w:val="both"/>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widowControl w:val="1"/>
        <w:spacing w:after="200" w:line="288" w:lineRule="auto"/>
        <w:ind w:left="680" w:right="454"/>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widowControl w:val="1"/>
        <w:spacing w:after="120" w:line="312" w:lineRule="auto" w:before="40"/>
        <w:ind w:firstLine="283"/>
        <w:jc w:val="both"/>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widowControl w:val="1"/>
        <w:spacing w:after="120" w:line="312" w:lineRule="auto" w:before="40"/>
        <w:ind w:left="720" w:firstLine="283"/>
        <w:jc w:val="both"/>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widowControl w:val="1"/>
        <w:spacing w:after="200" w:line="288" w:lineRule="auto"/>
        <w:ind w:left="680" w:right="454"/>
        <w:jc w:val="right"/>
        <w:rPr>
          <w:rFonts w:ascii="Garamond" w:eastAsia="Arial" w:hAnsi="Garamond" w:cs="Arial"/>
          <w:i/>
          <w:iCs/>
          <w:sz w:val="18"/>
          <w:szCs w:val="18"/>
        </w:rPr>
        <w:keepLines w:val="1"/>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widowControl w:val="1"/>
        <w:spacing w:after="120" w:line="312" w:lineRule="auto" w:before="40"/>
        <w:ind w:firstLine="283"/>
        <w:jc w:val="both"/>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widowControl w:val="1"/>
        <w:spacing w:after="80" w:line="312" w:lineRule="auto"/>
        <w:jc w:val="center"/>
      </w:pPr>
      <w:bookmarkStart w:id="2" w:name="_Hlk231837790"/>
      <w:r>
        <w:rPr>
          <w:rFonts w:ascii="Garamond" w:hAnsi="Garamond"/>
          <w:color w:val="7B1E1E"/>
          <w:sz w:val="22"/>
        </w:rPr>
        <w:t>★ ★ ★</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widowControl w:val="1"/>
        <w:spacing w:after="200" w:line="264" w:lineRule="auto"/>
        <w:ind w:left="680" w:right="700"/>
        <w:keepLines w:val="1"/>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ind w:firstLine="283"/>
        <w:jc w:val="both"/>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widowControl w:val="1"/>
        <w:spacing w:before="160" w:after="40"/>
        <w:ind w:left="680" w:right="454"/>
        <w:keepLines w:val="1"/>
        <w:pBdr>
          <w:left w:val="single" w:sz="32" w:space="14" w:color="7B1E1E"/>
        </w:pBdr>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widowControl w:val="1"/>
        <w:spacing w:before="0" w:after="200"/>
        <w:ind w:left="680" w:right="454"/>
        <w:keepLines w:val="1"/>
      </w:pPr>
      <w:r>
        <w:rPr>
          <w:i/>
          <w:sz w:val="19"/>
        </w:rPr>
        <w:t>— Thomson Eran, analyste panafricaniste, Paroles Panafricanistes, 2024</w:t>
      </w:r>
    </w:p>
    <w:p>
      <w:pPr>
        <w:widowControl w:val="1"/>
        <w:spacing w:after="120" w:line="312" w:lineRule="auto" w:before="40"/>
        <w:ind w:firstLine="283"/>
        <w:jc w:val="both"/>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widowControl w:val="1"/>
        <w:spacing w:after="120" w:line="312" w:lineRule="auto" w:before="40"/>
        <w:ind w:firstLine="283"/>
        <w:jc w:val="both"/>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widowControl w:val="1"/>
        <w:spacing w:after="120" w:line="312" w:lineRule="auto" w:before="40"/>
        <w:ind w:firstLine="283"/>
        <w:jc w:val="both"/>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widowControl w:val="1"/>
        <w:spacing w:after="120" w:line="312" w:lineRule="auto" w:before="40"/>
        <w:ind w:firstLine="283"/>
        <w:jc w:val="both"/>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widowControl w:val="1"/>
        <w:spacing w:before="160" w:after="40"/>
        <w:ind w:left="680" w:right="454"/>
        <w:keepLines w:val="1"/>
        <w:pBdr>
          <w:left w:val="single" w:sz="32" w:space="14" w:color="7B1E1E"/>
        </w:pBdr>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widowControl w:val="1"/>
        <w:spacing w:before="0" w:after="200"/>
        <w:ind w:left="680" w:right="454"/>
        <w:keepLines w:val="1"/>
      </w:pPr>
      <w:r>
        <w:rPr>
          <w:i/>
          <w:sz w:val="19"/>
        </w:rPr>
        <w:t>— Thomson Eran, analyste panafricaniste, Paroles Panafricanistes, 2024</w:t>
      </w:r>
    </w:p>
    <w:p>
      <w:pPr>
        <w:widowControl w:val="1"/>
        <w:spacing w:after="120" w:line="312" w:lineRule="auto" w:before="40"/>
        <w:ind w:firstLine="283"/>
        <w:jc w:val="both"/>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widowControl w:val="1"/>
        <w:spacing w:after="120" w:line="312" w:lineRule="auto" w:before="40"/>
        <w:ind w:firstLine="283"/>
        <w:jc w:val="both"/>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widowControl w:val="1"/>
        <w:spacing w:before="160" w:after="40"/>
        <w:ind w:left="680" w:right="454"/>
        <w:keepLines w:val="1"/>
        <w:pBdr>
          <w:left w:val="single" w:sz="32" w:space="14" w:color="7B1E1E"/>
        </w:pBdr>
      </w:pPr>
      <w:r>
        <w:rPr>
          <w:i/>
          <w:sz w:val="21"/>
        </w:rPr>
        <w:t>« Le fait que les rebelles aient reçu les données nécessaires qui leur ont permis de mener à bien une opération contre les militaires maliens a déjà été observé par ces derniers. »</w:t>
      </w:r>
    </w:p>
    <w:p>
      <w:pPr>
        <w:widowControl w:val="1"/>
        <w:spacing w:before="0" w:after="200"/>
        <w:ind w:left="680" w:right="454"/>
        <w:keepLines w:val="1"/>
      </w:pPr>
      <w:r>
        <w:rPr>
          <w:i/>
          <w:sz w:val="19"/>
        </w:rPr>
        <w:t>— Andrii Lousov, chef du renseignement militaire ukrainien (GUR), télévision ukrainienne, août 2024</w:t>
      </w:r>
    </w:p>
    <w:p>
      <w:pPr>
        <w:widowControl w:val="1"/>
        <w:spacing w:after="120" w:line="312" w:lineRule="auto" w:before="40"/>
        <w:ind w:firstLine="283"/>
        <w:jc w:val="both"/>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widowControl w:val="1"/>
        <w:spacing w:after="120" w:line="312" w:lineRule="auto" w:before="40"/>
        <w:ind w:firstLine="283"/>
        <w:jc w:val="both"/>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ageBreakBefore w:val="1"/>
        <w:keepNext w:val="1"/>
      </w:pPr>
      <w:r>
        <w:rPr>
          <w:rFonts w:ascii="Garamond" w:hAnsi="Garamond"/>
          <w:b w:val="0"/>
          <w:color w:val="1A1A2E"/>
          <w:sz w:val="28"/>
        </w:rP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27 — Les attaques du 25 avril 2026</w:t>
      </w:r>
    </w:p>
    <w:p w14:paraId="0CCC2AE5" w14:textId="77777777" w:rsidR="006E716F" w:rsidRDefault="00000000">
      <w:pPr>
        <w:widowControl w:val="1"/>
        <w:spacing w:after="120" w:line="312" w:lineRule="auto" w:before="40"/>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pPr>
              <w:spacing w:before="280"/>
            </w:pPr>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1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widowControl w:val="1"/>
        <w:ind w:left="2160" w:firstLine="720"/>
        <w:jc w:val="center"/>
      </w:pPr>
      <w:r w:rsidRPr="0010645E">
        <w:rPr>
          <w:rFonts w:ascii="Segoe UI Symbol" w:hAnsi="Segoe UI Symbol" w:cs="Segoe UI Symbol"/>
          <w:color w:val="7B1E1E"/>
        </w:rPr>
        <w:t>★ ★ ★</w:t>
      </w:r>
      <w:r w:rsidR="00000000"/>
    </w:p>
    <w:p w14:paraId="32081B3A" w14:textId="77777777" w:rsidR="006E716F" w:rsidRDefault="00000000">
      <w:r>
        <w:lastRenderedPageBreak/>
        <w:br w:type="page"/>
      </w:r>
    </w:p>
    <w:p w14:paraId="7C09606D"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LES DÉFIS INTERNES DE L’AES</w:t>
      </w:r>
    </w:p>
    <w:p w14:paraId="3C52266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le projet souverain doit surmonter</w:t>
      </w:r>
    </w:p>
    <w:p>
      <w:pPr>
        <w:pStyle w:val="Titre2"/>
        <w:pageBreakBefore w:val="1"/>
        <w:keepNext w:val="1"/>
      </w:pPr>
      <w:r>
        <w:rPr>
          <w:rFonts w:ascii="Garamond" w:hAnsi="Garamond"/>
          <w:b w:val="0"/>
          <w:color w:val="1A1A2E"/>
          <w:sz w:val="28"/>
        </w:rPr>
        <w:t>Chapitre 28b — L'Affaire Vésilier : Quand la Justice Africaine Tient Bon</w:t>
      </w:r>
    </w:p>
    <w:p>
      <w:pPr>
        <w:widowControl w:val="1"/>
        <w:spacing w:after="120" w:line="312" w:lineRule="auto" w:before="4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widowControl w:val="1"/>
        <w:spacing w:after="120" w:line="312" w:lineRule="auto" w:before="40"/>
        <w:ind w:firstLine="283"/>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widowControl w:val="1"/>
        <w:spacing w:after="120" w:line="312" w:lineRule="auto" w:before="40"/>
        <w:ind w:firstLine="283"/>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widowControl w:val="1"/>
        <w:spacing w:after="120" w:line="312" w:lineRule="auto" w:before="40"/>
        <w:ind w:firstLine="283"/>
        <w:jc w:val="both"/>
      </w:pPr>
      <w:r>
        <w:rPr>
          <w:rFonts w:ascii="Garamond" w:hAnsi="Garamond"/>
          <w:sz w:val="22"/>
        </w:rPr>
        <w:t>Mais Nathalie Yamb — l'une des analystes les plus lucides de la géopolitique sahélienne — tempère l'enthousiasme avec une rigueur analytique qui mérite d'être entendue :</w:t>
      </w:r>
    </w:p>
    <w:p>
      <w:pPr>
        <w:widowControl w:val="1"/>
        <w:spacing w:after="40"/>
        <w:ind w:left="680" w:right="454"/>
        <w:keepLines w:val="1"/>
        <w:pBdr>
          <w:left w:val="single" w:sz="32" w:space="14" w:color="7B1E1E"/>
        </w:pBdr>
      </w:pPr>
      <w:r>
        <w:rPr>
          <w:rFonts w:ascii="Garamond" w:hAnsi="Garamond"/>
          <w:i/>
          <w:sz w:val="21"/>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widowControl w:val="1"/>
        <w:keepLines w:val="1"/>
        <w:ind w:right="454"/>
      </w:pPr>
      <w:r>
        <w:rPr>
          <w:i/>
        </w:rPr>
        <w:t>— Nathalie Yamb, analyste géopolitique, juin 2026</w:t>
      </w:r>
    </w:p>
    <w:p>
      <w:pPr>
        <w:widowControl w:val="1"/>
        <w:spacing w:after="120" w:line="312" w:lineRule="auto" w:before="40"/>
        <w:ind w:firstLine="283"/>
        <w:jc w:val="both"/>
      </w:pPr>
      <w:r>
        <w:rPr>
          <w:rFonts w:ascii="Garamond" w:hAnsi="Garamond"/>
          <w:sz w:val="22"/>
        </w:rPr>
        <w:t>Trois silences. Trois absences. Trois signaux d'alarme que la jubilation populaire risque de masquer.</w:t>
      </w:r>
    </w:p>
    <w:p>
      <w:pPr>
        <w:widowControl w:val="1"/>
        <w:spacing w:before="40" w:after="120" w:line="312" w:lineRule="auto"/>
        <w:jc w:val="both"/>
      </w:pPr>
      <w:r>
        <w:rPr>
          <w:b/>
          <w:sz w:val="22"/>
        </w:rPr>
        <w:t>Le précédent de Wagadou</w:t>
      </w:r>
    </w:p>
    <w:p>
      <w:pPr>
        <w:widowControl w:val="1"/>
        <w:spacing w:after="120" w:line="312" w:lineRule="auto" w:before="40"/>
        <w:ind w:firstLine="283"/>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widowControl w:val="1"/>
        <w:spacing w:after="40"/>
        <w:ind w:left="680" w:right="454"/>
        <w:keepLines w:val="1"/>
        <w:pBdr>
          <w:left w:val="single" w:sz="32" w:space="14" w:color="7B1E1E"/>
        </w:pBdr>
      </w:pPr>
      <w:r>
        <w:rPr>
          <w:rFonts w:ascii="Garamond" w:hAnsi="Garamond"/>
          <w:i/>
          <w:sz w:val="21"/>
        </w:rPr>
        <w:t>« Peut-être maintenant que notre ambassadeur et notre contingent ne sont plus otages au Niger, nous aurons peut-être plus de latitude pour monter des opérations de déstabilisation cette fois-ci plus clandestines. »</w:t>
      </w:r>
    </w:p>
    <w:p>
      <w:pPr>
        <w:widowControl w:val="1"/>
        <w:keepLines w:val="1"/>
        <w:ind w:right="454"/>
      </w:pPr>
      <w:r>
        <w:rPr>
          <w:i/>
        </w:rPr>
        <w:t>— Source sécuritaire française, plateau de télévision, 2024</w:t>
      </w:r>
    </w:p>
    <w:p>
      <w:pPr>
        <w:widowControl w:val="1"/>
        <w:spacing w:after="120" w:line="312" w:lineRule="auto" w:before="40"/>
        <w:ind w:firstLine="283"/>
        <w:jc w:val="both"/>
      </w:pPr>
      <w:r>
        <w:rPr>
          <w:rFonts w:ascii="Garamond" w:hAnsi="Garamond"/>
          <w:sz w:val="22"/>
        </w:rPr>
        <w:t>Pas une menace voilée. Une annonce de programme.</w:t>
      </w:r>
    </w:p>
    <w:p>
      <w:pPr>
        <w:widowControl w:val="1"/>
        <w:spacing w:before="40" w:after="120" w:line="312" w:lineRule="auto"/>
        <w:ind w:firstLine="283"/>
        <w:jc w:val="both"/>
      </w:pPr>
      <w:r>
        <w:rPr>
          <w:b/>
          <w:sz w:val="22"/>
        </w:rPr>
        <w:t>L'Arche de Zoé : la mémoire comme vaccin</w:t>
      </w:r>
    </w:p>
    <w:p>
      <w:pPr>
        <w:widowControl w:val="1"/>
        <w:spacing w:after="120" w:line="312" w:lineRule="auto" w:before="40"/>
        <w:ind w:firstLine="283"/>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widowControl w:val="1"/>
        <w:spacing w:before="40" w:after="120" w:line="312" w:lineRule="auto"/>
        <w:ind w:firstLine="283"/>
        <w:jc w:val="both"/>
      </w:pPr>
      <w:r>
        <w:rPr>
          <w:b/>
          <w:sz w:val="22"/>
        </w:rPr>
        <w:t>Le cadre de Yamb : deux conditions, pas de troisième</w:t>
      </w:r>
    </w:p>
    <w:p>
      <w:pPr>
        <w:widowControl w:val="1"/>
        <w:spacing w:after="120" w:line="312" w:lineRule="auto" w:before="40"/>
        <w:ind w:firstLine="283"/>
        <w:jc w:val="both"/>
      </w:pPr>
      <w:r>
        <w:rPr>
          <w:rFonts w:ascii="Garamond" w:hAnsi="Garamond"/>
          <w:sz w:val="22"/>
        </w:rPr>
        <w:t>Yamb pose les termes avec une clarté qui ne laisse pas de place à l'ambiguïté :</w:t>
      </w:r>
    </w:p>
    <w:p>
      <w:pPr>
        <w:widowControl w:val="1"/>
        <w:spacing w:after="40"/>
        <w:ind w:left="680" w:right="454"/>
        <w:keepLines w:val="1"/>
        <w:pBdr>
          <w:left w:val="single" w:sz="32" w:space="14" w:color="7B1E1E"/>
        </w:pBdr>
      </w:pPr>
      <w:r>
        <w:rPr>
          <w:rFonts w:ascii="Garamond" w:hAnsi="Garamond"/>
          <w:i/>
          <w:sz w:val="21"/>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widowControl w:val="1"/>
        <w:keepLines w:val="1"/>
        <w:ind w:right="454"/>
      </w:pPr>
      <w:r>
        <w:rPr>
          <w:i/>
        </w:rPr>
        <w:t>— Nathalie Yamb, juin 2026</w:t>
      </w:r>
    </w:p>
    <w:p>
      <w:pPr>
        <w:widowControl w:val="1"/>
        <w:spacing w:after="120" w:line="312" w:lineRule="auto" w:before="40"/>
        <w:ind w:firstLine="283"/>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widowControl w:val="1"/>
        <w:spacing w:after="120" w:line="312" w:lineRule="auto" w:before="40"/>
        <w:ind w:firstLine="283"/>
        <w:jc w:val="both"/>
      </w:pPr>
      <w:r>
        <w:rPr>
          <w:rFonts w:ascii="Garamond" w:hAnsi="Garamond"/>
          <w:sz w:val="22"/>
        </w:rPr>
        <w:t>Yamb engage aussi la responsabilité historique des dirigeants maliens :</w:t>
      </w:r>
    </w:p>
    <w:p>
      <w:pPr>
        <w:widowControl w:val="1"/>
        <w:spacing w:after="40"/>
        <w:ind w:left="680" w:right="454"/>
        <w:keepLines w:val="1"/>
        <w:pBdr>
          <w:left w:val="single" w:sz="32" w:space="14" w:color="7B1E1E"/>
        </w:pBdr>
      </w:pPr>
      <w:r>
        <w:rPr>
          <w:rFonts w:ascii="Garamond" w:hAnsi="Garamond"/>
          <w:i/>
          <w:sz w:val="21"/>
        </w:rPr>
        <w:t>« Si un jour quelqu'un au Mali décide qu'il doit libérer Vésilier en dehors du cadre que je viens d'énoncer, on saura que cette personne n'est pas, ou bien n'est plus, dans le combat avec nous — et qu'elle était derrière l'assassinat de Sadio Kamara. »</w:t>
      </w:r>
    </w:p>
    <w:p>
      <w:pPr>
        <w:widowControl w:val="1"/>
        <w:keepLines w:val="1"/>
        <w:ind w:right="454"/>
      </w:pPr>
      <w:r>
        <w:rPr>
          <w:i/>
        </w:rPr>
        <w:t>— Nathalie Yamb, juin 2026</w:t>
      </w:r>
    </w:p>
    <w:p>
      <w:pPr>
        <w:widowControl w:val="1"/>
        <w:spacing w:before="40" w:after="120" w:line="312" w:lineRule="auto"/>
        <w:jc w:val="both"/>
      </w:pPr>
      <w:r>
        <w:rPr>
          <w:b/>
          <w:sz w:val="22"/>
        </w:rPr>
        <w:t>La dissuasion comme doctrine</w:t>
      </w:r>
    </w:p>
    <w:p>
      <w:pPr>
        <w:widowControl w:val="1"/>
        <w:spacing w:after="120" w:line="312" w:lineRule="auto" w:before="40"/>
        <w:ind w:firstLine="283"/>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widowControl w:val="1"/>
        <w:spacing w:after="40"/>
        <w:ind w:left="680" w:right="454"/>
        <w:keepLines w:val="1"/>
        <w:pBdr>
          <w:left w:val="single" w:sz="32" w:space="14" w:color="7B1E1E"/>
        </w:pBdr>
      </w:pPr>
      <w:r>
        <w:rPr>
          <w:rFonts w:ascii="Garamond" w:hAnsi="Garamond"/>
          <w:i/>
          <w:sz w:val="21"/>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widowControl w:val="1"/>
        <w:keepLines w:val="1"/>
        <w:ind w:right="454"/>
      </w:pPr>
      <w:r>
        <w:rPr>
          <w:i/>
        </w:rPr>
        <w:t>— Nathalie Yamb, juin 2026</w:t>
      </w:r>
    </w:p>
    <w:p>
      <w:pPr>
        <w:widowControl w:val="1"/>
        <w:spacing w:after="120" w:line="312" w:lineRule="auto" w:before="40"/>
        <w:ind w:firstLine="283"/>
        <w:jc w:val="both"/>
      </w:pPr>
      <w:r>
        <w:rPr>
          <w:rFonts w:ascii="Garamond" w:hAnsi="Garamond"/>
          <w:sz w:val="22"/>
        </w:rPr>
        <w:t>C'est l'argument du coût. L'espionnage hostile n'est pas une vocation — c'est un calcul. Modifier le calcul, c'est modifier le comportement.</w:t>
      </w:r>
    </w:p>
    <w:p>
      <w:pPr>
        <w:widowControl w:val="1"/>
        <w:spacing w:after="120" w:line="312" w:lineRule="auto" w:before="40"/>
        <w:ind w:firstLine="283"/>
        <w:jc w:val="both"/>
      </w:pPr>
      <w:r>
        <w:rPr>
          <w:rFonts w:ascii="Garamond" w:hAnsi="Garamond"/>
          <w:sz w:val="22"/>
        </w:rPr>
        <w:t>La condamnation de Vésilier est une première. Elle mérite d'être saluée. Elle mérite plus encore d'être tenue.</w:t>
      </w:r>
    </w:p>
    <w:p>
      <w:pPr>
        <w:widowControl w:val="1"/>
        <w:spacing w:before="320" w:after="320"/>
        <w:jc w:val="center"/>
      </w:pPr>
      <w:r>
        <w:rPr>
          <w:color w:val="7B1E1E"/>
        </w:rPr>
        <w:t>★ ★ ★</w:t>
      </w:r>
    </w:p>
    <w:p w14:paraId="5FB30FE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pPr>
              <w:spacing w:before="280"/>
            </w:pPr>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1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29 — La menace jihadiste persistante</w:t>
      </w:r>
    </w:p>
    <w:p>
      <w:pPr>
        <w:widowControl w:val="1"/>
        <w:spacing w:before="160" w:after="160"/>
        <w:jc w:val="center"/>
      </w:pPr>
      <w:r>
        <w:rPr>
          <w:color w:val="7B1E1E"/>
        </w:rPr>
        <w:t>★ ★ ★</w:t>
      </w:r>
    </w:p>
    <w:p>
      <w:pPr>
        <w:widowControl w:val="1"/>
        <w:spacing w:after="120" w:line="312" w:lineRule="auto" w:before="40"/>
        <w:ind w:firstLine="283"/>
        <w:jc w:val="both"/>
      </w:pPr>
      <w:r>
        <w:t>La Confédération de l'AES a posé un calendrier de transition vers des institutions civiles. Ce calendrier est contesté, régulièrement repoussé, critiqué par les partenaires internationaux. Mais l'exigence de retour rapide à des élections dans des pays en guerre — où les filets de renseignement ennemis sont actifs, où des ambassadeurs étrangers financent des candidatures de substitution — n'est pas une exigence démocratique. C'est une stratégie de déstabilisation habillée en principe universel. La démocratie réelle se construit dans la sécurité, la souveraineté et la justice sociale. Ces trois conditions ne sont pas encore réunies. Le calendrier de leur réunion appartient aux peuples du Sahel — pas aux institutions qui ont bénéficié de leur vassalisation.</w:t>
      </w:r>
    </w:p>
    <w:p>
      <w:pPr>
        <w:widowControl w:val="1"/>
        <w:spacing w:after="120" w:line="312" w:lineRule="auto" w:before="40"/>
        <w:ind w:firstLine="283"/>
        <w:jc w:val="both"/>
      </w:pPr>
      <w:r>
        <w:t>Cet aveu de Maïga est l'un des documents les plus précieux du corpus. Il dit que le projet de souveraineté est réel — et qu'il est fragile. Les réseaux endocoloniaux n'ont pas disparu avec les coups d'État. Ils se sont réorganisés. Ils ont infiltré les ministères, les états-majors, les milieux d'affaires, les médias proches des transitions. La révolution n'est pas accomplie parce que les symboles ont changé. Elle ne le sera que si les structures changent — et si les structures nouvelles résistent à la recolonisation par les intérêts qu'elles étaient censées remplacer.</w:t>
      </w:r>
    </w:p>
    <w:p>
      <w:pPr>
        <w:widowControl w:val="1"/>
        <w:spacing w:before="160" w:after="40"/>
        <w:ind w:left="680" w:right="454"/>
        <w:keepLines w:val="1"/>
        <w:pBdr>
          <w:left w:val="single" w:sz="32" w:space="14" w:color="7B1E1E"/>
        </w:pBdr>
      </w:pPr>
      <w:r>
        <w:rPr>
          <w:i/>
          <w:sz w:val="21"/>
        </w:rPr>
        <w:t>« Beaucoup de leurs réseaux ont infiltré la transition aujourd'hui. »</w:t>
      </w:r>
    </w:p>
    <w:p>
      <w:pPr>
        <w:widowControl w:val="1"/>
        <w:spacing w:before="0" w:after="200"/>
        <w:ind w:left="680" w:right="454"/>
        <w:keepLines w:val="1"/>
      </w:pPr>
      <w:r>
        <w:rPr>
          <w:i/>
          <w:sz w:val="19"/>
        </w:rPr>
        <w:t>— Choguel Kokalla Maïga, Premier ministre du Mali, déclaration publique</w:t>
      </w:r>
    </w:p>
    <w:p>
      <w:pPr>
        <w:widowControl w:val="1"/>
        <w:spacing w:after="120" w:line="312" w:lineRule="auto" w:before="40"/>
        <w:ind w:firstLine="283"/>
        <w:jc w:val="both"/>
      </w:pPr>
      <w:r>
        <w:t>La vraie question démocratique n'est pas : ces dirigeants sont-ils élus ? Elle est triple : les transitions produisent-elles des institutions ou des règnes personnels ? Les droits fondamentaux sont-ils respectés en dehors des discours ? Les minorités sont-elles protégées ? À ces trois questions, les réponses ne sont pas définitives. L'AES est en construction. Ses institutions sont en gestation. Ses transitions sont des processus ouverts, non des aboutissements figés.</w:t>
      </w:r>
    </w:p>
    <w:p>
      <w:pPr>
        <w:widowControl w:val="1"/>
        <w:spacing w:before="160" w:after="40"/>
        <w:ind w:left="680" w:right="454"/>
        <w:keepLines w:val="1"/>
        <w:pBdr>
          <w:left w:val="single" w:sz="32" w:space="14" w:color="7B1E1E"/>
        </w:pBdr>
      </w:pPr>
      <w:r>
        <w:rPr>
          <w:i/>
          <w:sz w:val="21"/>
        </w:rPr>
        <w:t>«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w:t>
      </w:r>
    </w:p>
    <w:p>
      <w:pPr>
        <w:widowControl w:val="1"/>
        <w:spacing w:before="0" w:after="200"/>
        <w:ind w:left="680" w:right="454"/>
        <w:keepLines w:val="1"/>
      </w:pPr>
      <w:r>
        <w:rPr>
          <w:i/>
          <w:sz w:val="19"/>
        </w:rPr>
        <w:t>— Nathalie Yamb, analyste géopolitique</w:t>
      </w:r>
    </w:p>
    <w:p>
      <w:pPr>
        <w:widowControl w:val="1"/>
        <w:spacing w:after="120" w:line="312" w:lineRule="auto" w:before="40"/>
        <w:ind w:firstLine="283"/>
        <w:jc w:val="both"/>
      </w:pPr>
      <w:r>
        <w:t>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aucune parole sur les accords de défense qui plaçaient leur pays sous tutelle militaire étrangère. L'urne avait été respectée. La souveraineté avait été trahie. C'est la contradiction centrale que les transitions ont exposée en la renversant — non en la résolvant.</w:t>
      </w:r>
    </w:p>
    <w:p>
      <w:pPr>
        <w:widowControl w:val="1"/>
        <w:spacing w:after="120" w:line="312" w:lineRule="auto" w:before="40"/>
        <w:ind w:firstLine="283"/>
        <w:jc w:val="both"/>
      </w:pPr>
      <w:r>
        <w:t>La question démocratique est la plus difficile pour tout analyste honnête de l'AES. Elle ne peut pas être esquivée. Les gouvernements du Mali, du Burkina Faso et du Niger sont militaires. Ils ne sont pas issus d'élections. Ce fait existe. Il doit être nommé. La défense de la souveraineté africaine n'exige pas de l'ignorer — elle exige de le contextualiser avec la même rigueur qu'on applique aux autres faits de ce corpus.</w:t>
      </w:r>
    </w:p>
    <w:p>
      <w:pPr>
        <w:pStyle w:val="Titre2"/>
        <w:pageBreakBefore w:val="1"/>
        <w:keepNext w:val="1"/>
      </w:pPr>
      <w:r>
        <w:rPr>
          <w:rFonts w:ascii="Garamond" w:hAnsi="Garamond"/>
          <w:b w:val="0"/>
          <w:color w:val="1A1A2E"/>
          <w:sz w:val="28"/>
        </w:rPr>
        <w:t>Chapitre 29b — La vraie question démocratique dans l'AES : légitimité, institutions et infiltration</w:t>
      </w:r>
    </w:p>
    <w:p w14:paraId="00573002"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widowControl w:val="1"/>
        <w:spacing w:after="40" w:line="312" w:lineRule="auto" w:before="160"/>
        <w:ind w:left="680" w:right="720"/>
        <w:jc w:val="both"/>
        <w:rPr>
          <w:color w:val="943634" w:themeColor="accent2" w:themeShade="BF"/>
        </w:rPr>
        <w:keepLines w:val="1"/>
        <w:pBdr>
          <w:left w:val="single" w:sz="32" w:space="14" w:color="7B1E1E"/>
        </w:pBd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widowControl w:val="1"/>
        <w:spacing w:after="200" w:line="312" w:lineRule="auto"/>
        <w:ind w:left="680" w:right="720"/>
        <w:jc w:val="both"/>
        <w:rPr>
          <w:i/>
          <w:iCs/>
          <w:sz w:val="18"/>
          <w:szCs w:val="18"/>
        </w:rPr>
        <w:keepLines w:val="1"/>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widowControl w:val="1"/>
        <w:spacing w:after="120" w:line="312" w:lineRule="auto" w:before="40"/>
        <w:ind w:firstLine="283"/>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pPr>
              <w:spacing w:before="280"/>
            </w:pPr>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1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widowControl w:val="1"/>
        <w:pageBreakBefore/>
        <w:spacing w:before="40" w:after="120" w:line="312"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ageBreakBefore/>
        <w:pBdr>
          <w:bottom w:val="single" w:sz="8" w:space="8" w:color="C8A951"/>
        </w:pBdr>
        <w:spacing w:before="720" w:after="240" w:line="288" w:lineRule="auto"/>
        <w:jc w:val="center"/>
        <w:keepNext/>
      </w:pPr>
      <w:r>
        <w:rPr>
          <w:rFonts w:ascii="Garamond" w:eastAsia="Arial" w:hAnsi="Garamond" w:cs="Arial"/>
          <w:b/>
          <w:bCs/>
          <w:color w:val="1A1A2E"/>
          <w:sz w:val="38"/>
          <w:szCs w:val="42"/>
        </w:rPr>
        <w:t>L’HORIZON SOUVERAIN</w:t>
      </w:r>
    </w:p>
    <w:p w14:paraId="5845FB51" w14:textId="77777777" w:rsidR="006E716F" w:rsidRDefault="00000000">
      <w:pPr>
        <w:widowControl w:val="1"/>
        <w:spacing w:after="120" w:line="312" w:lineRule="auto" w:before="40"/>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ageBreakBefore w:val="1"/>
        <w:keepNext w:val="1"/>
      </w:pPr>
      <w:r w:rsidRPr="0064189E">
        <w:rPr>
          <w:rFonts w:ascii="Garamond" w:eastAsia="Georgia" w:hAnsi="Garamond" w:cs="Georgia"/>
          <w:b w:val="0"/>
          <w:color w:val="1A1A2E"/>
          <w:sz w:val="28"/>
          <w:szCs w:val="26"/>
        </w:rPr>
        <w:t>Chapitre 32 — Les morts de Barkhane : autopsie d’un mensonge d’État</w:t>
      </w:r>
    </w:p>
    <w:p w14:paraId="00320002" w14:textId="77777777" w:rsidR="0028409C" w:rsidRDefault="00000000">
      <w:pPr>
        <w:widowControl w:val="1"/>
        <w:spacing w:after="120" w:line="312" w:lineRule="auto" w:before="40"/>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widowControl w:val="1"/>
        <w:spacing w:after="80" w:line="312" w:lineRule="auto"/>
        <w:ind w:left="2160" w:firstLine="720"/>
        <w:jc w:val="center"/>
        <w:rPr>
          <w:color w:val="943634" w:themeColor="accent2" w:themeShade="BF"/>
        </w:rPr>
      </w:pPr>
      <w:r w:rsidRPr="00A82CA8">
        <w:rPr>
          <w:rFonts w:ascii="Segoe UI Symbol" w:hAnsi="Segoe UI Symbol" w:cs="Segoe UI Symbol"/>
          <w:color w:val="7B1E1E"/>
        </w:rPr>
        <w:t>★ ★ ★</w:t>
      </w:r>
    </w:p>
    <w:p w14:paraId="0FC7460B"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C86088E" w14:textId="77777777" w:rsidR="006E716F" w:rsidRDefault="00000000">
            <w:pPr>
              <w:spacing w:before="280"/>
            </w:pPr>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1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ind w:firstLine="283"/>
        <w:jc w:val="both"/>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widowControl w:val="1"/>
        <w:spacing w:before="160" w:after="40"/>
        <w:ind w:left="680" w:right="454"/>
        <w:keepLines w:val="1"/>
        <w:pBdr>
          <w:left w:val="single" w:sz="32" w:space="14" w:color="7B1E1E"/>
        </w:pBdr>
      </w:pPr>
      <w:r>
        <w:rPr>
          <w:i/>
          <w:sz w:val="21"/>
        </w:rPr>
        <w:t>« Si la Centrafrique réussit, c'est toute l'Afrique qui réussit. Si la Centrafrique échoue, c'est toute l'Afrique qu'ils auront abandonnée alors qu'une réussite était possible. »</w:t>
      </w:r>
    </w:p>
    <w:p>
      <w:pPr>
        <w:widowControl w:val="1"/>
        <w:spacing w:before="0" w:after="200"/>
        <w:ind w:left="680" w:right="454"/>
        <w:keepLines w:val="1"/>
      </w:pPr>
      <w:r>
        <w:rPr>
          <w:i/>
          <w:sz w:val="19"/>
        </w:rPr>
        <w:t>— Dr Hamdi Mabrouk, Paroles Panafricanistes, juin 2022</w:t>
      </w:r>
    </w:p>
    <w:p>
      <w:pPr>
        <w:widowControl w:val="1"/>
        <w:spacing w:after="120" w:line="312" w:lineRule="auto" w:before="40"/>
        <w:ind w:firstLine="283"/>
        <w:jc w:val="both"/>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widowControl w:val="1"/>
        <w:spacing w:after="120" w:line="312" w:lineRule="auto" w:before="40"/>
        <w:ind w:firstLine="283"/>
        <w:jc w:val="both"/>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widowControl w:val="1"/>
        <w:spacing w:after="120" w:line="312" w:lineRule="auto" w:before="40"/>
        <w:ind w:firstLine="283"/>
        <w:jc w:val="both"/>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widowControl w:val="1"/>
        <w:spacing w:after="120" w:line="312" w:lineRule="auto" w:before="40"/>
        <w:ind w:firstLine="283"/>
        <w:jc w:val="both"/>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widowControl w:val="1"/>
        <w:spacing w:before="160" w:after="40"/>
        <w:ind w:left="680" w:right="454"/>
        <w:keepLines w:val="1"/>
        <w:pBdr>
          <w:left w:val="single" w:sz="32" w:space="14" w:color="7B1E1E"/>
        </w:pBdr>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widowControl w:val="1"/>
        <w:spacing w:before="0" w:after="200"/>
        <w:ind w:left="680" w:right="454"/>
        <w:keepLines w:val="1"/>
      </w:pPr>
      <w:r>
        <w:rPr>
          <w:i/>
          <w:sz w:val="19"/>
        </w:rPr>
        <w:t>— Dr Hamdi Mabrouk, Paroles Panafricanistes, juin 2022</w:t>
      </w:r>
    </w:p>
    <w:p>
      <w:pPr>
        <w:widowControl w:val="1"/>
        <w:spacing w:after="120" w:line="312" w:lineRule="auto" w:before="40"/>
        <w:ind w:firstLine="283"/>
        <w:jc w:val="both"/>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widowControl w:val="1"/>
        <w:spacing w:after="120" w:line="312" w:lineRule="auto" w:before="40"/>
        <w:ind w:firstLine="283"/>
        <w:jc w:val="both"/>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widowControl w:val="1"/>
        <w:spacing w:after="120" w:line="312" w:lineRule="auto" w:before="40"/>
        <w:ind w:firstLine="283"/>
        <w:jc w:val="both"/>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widowControl w:val="1"/>
        <w:spacing w:before="160" w:after="40"/>
        <w:ind w:left="680" w:right="454"/>
        <w:keepLines w:val="1"/>
        <w:pBdr>
          <w:left w:val="single" w:sz="32" w:space="14" w:color="7B1E1E"/>
        </w:pBdr>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widowControl w:val="1"/>
        <w:spacing w:before="0" w:after="200"/>
        <w:ind w:left="680" w:right="454"/>
        <w:keepLines w:val="1"/>
      </w:pPr>
      <w:r>
        <w:rPr>
          <w:i/>
          <w:sz w:val="19"/>
        </w:rPr>
        <w:t>— Dr Hamdi Mabrouk, économiste, Paroles Panafricanistes, juin 2022</w:t>
      </w:r>
    </w:p>
    <w:p>
      <w:pPr>
        <w:widowControl w:val="1"/>
        <w:spacing w:after="120" w:line="312" w:lineRule="auto" w:before="40"/>
        <w:ind w:firstLine="283"/>
        <w:jc w:val="both"/>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widowControl w:val="1"/>
        <w:spacing w:after="120" w:line="312" w:lineRule="auto" w:before="40"/>
        <w:ind w:firstLine="283"/>
        <w:jc w:val="both"/>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ageBreakBefore w:val="1"/>
        <w:keepNext w:val="1"/>
      </w:pPr>
      <w:r>
        <w:rPr>
          <w:rFonts w:ascii="Garamond" w:hAnsi="Garamond"/>
          <w:b w:val="0"/>
          <w:color w:val="1A1A2E"/>
          <w:sz w:val="28"/>
        </w:rP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34 — L’armée fédérale sahélienne</w:t>
      </w:r>
    </w:p>
    <w:p w14:paraId="4A13EC8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pPr>
        <w:widowControl w:val="1"/>
        <w:spacing w:before="160" w:after="160"/>
        <w:jc w:val="center"/>
      </w:pPr>
      <w:r>
        <w:rPr>
          <w:color w:val="7B1E1E"/>
        </w:rPr>
        <w:t>★ ★ ★</w:t>
      </w:r>
    </w:p>
    <w:p>
      <w:pPr>
        <w:widowControl w:val="1"/>
        <w:spacing w:after="120" w:line="312" w:lineRule="auto" w:before="40"/>
        <w:ind w:firstLine="283"/>
        <w:jc w:val="both"/>
      </w:pPr>
      <w:r>
        <w:t>L'AES a posé les fondements militaires et diplomatiques de sa souveraineté. La prochaine frontière est celle des cerveaux et des mains. Assimi Goïta a compris que la guerre se gagne aussi dans les salles de classe quand il finance la traduction et la distribution d'ouvrages panafricanistes dans les écoles maliennes. Ibrahim Traoré a compris que la révolution sans réforme éducative reste une révolution de façade. La jeunesse sahélienne qui constitue 60 % de la population n'attend pas des discours. Elle attend des écoles, des laboratoires, des ateliers, des professeurs bien formés et bien payés. L'Empire a peur d'une Afrique armée. Il a encore plus peur d'une Afrique éduquée.</w:t>
      </w:r>
    </w:p>
    <w:p>
      <w:pPr>
        <w:widowControl w:val="1"/>
        <w:spacing w:after="120" w:line="312" w:lineRule="auto" w:before="40"/>
        <w:ind w:firstLine="283"/>
        <w:jc w:val="both"/>
      </w:pPr>
      <w:r>
        <w:t>La corruption ronge enfin la base même du système. Budgets éducatifs détournés, postes d'enseignants vendus, diplômes achetés, résultats d'examens truqués — chaque acte corruptif dans l'éducation est une balle tirée dans l'avenir d'un peuple. Il mine la confiance entre citoyens et institutions, démobilise les familles qui ne voient plus l'utilité de l'effort scolaire, et prive le système de la légitimité nécessaire pour mobiliser les ressources collectives. La lutte contre la corruption dans l'éducation n'est pas une mesure technique de bonne gouvernance. C'est un impératif de survie nationale.</w:t>
      </w:r>
    </w:p>
    <w:p>
      <w:pPr>
        <w:widowControl w:val="1"/>
        <w:spacing w:after="120" w:line="312" w:lineRule="auto" w:before="40"/>
        <w:ind w:firstLine="283"/>
        <w:jc w:val="both"/>
      </w:pPr>
      <w:r>
        <w:t>La privatisation croissante de l'enseignement dans plusieurs pays africains est une démission d'État déguisée en modernisation. Des écoles privées axées sur le profit, accessibles uniquement aux familles aisées, reproduisent et amplifient les inégalités sociales. Elles ne répondent pas aux besoins nationaux de formation mais aux besoins du marché global et à la demande des couches compradore. L'État africain souverain n'a pas à sous-traiter l'éducation de sa jeunesse à des opérateurs privés. L'éducation est une fonction régalienne. Elle forge l'identité nationale, transmet les valeurs collectives, fabrique les citoyens. Quand l'État abdique ce rôle, il abdique sa souveraineté la plus profonde.</w:t>
      </w:r>
    </w:p>
    <w:p>
      <w:pPr>
        <w:widowControl w:val="1"/>
        <w:spacing w:before="160" w:after="40"/>
        <w:ind w:left="680" w:right="454"/>
        <w:keepLines w:val="1"/>
        <w:pBdr>
          <w:left w:val="single" w:sz="32" w:space="14" w:color="7B1E1E"/>
        </w:pBdr>
      </w:pPr>
      <w:r>
        <w:rPr>
          <w:i/>
          <w:sz w:val="21"/>
        </w:rPr>
        <w:t>« Les programmes actuels valorisent la récitation au détriment de l'esprit critique, de la créativité et de l'adaptation aux besoins technologiques et industriels du continent. Il faut intégrer des formations techniques, scientifiques et des métiers manuels pour former une jeunesse capable de répondre aux défis économiques locaux et globaux, en valorisant toutes les formes d'intelligence. »</w:t>
      </w:r>
    </w:p>
    <w:p>
      <w:pPr>
        <w:widowControl w:val="1"/>
        <w:spacing w:before="0" w:after="200"/>
        <w:ind w:left="680" w:right="454"/>
        <w:keepLines w:val="1"/>
      </w:pPr>
      <w:r>
        <w:rPr>
          <w:i/>
          <w:sz w:val="19"/>
        </w:rPr>
        <w:t>— Parfait Patient Ndom, analyste, sur la réforme des curricula africains</w:t>
      </w:r>
    </w:p>
    <w:p>
      <w:pPr>
        <w:widowControl w:val="1"/>
        <w:spacing w:after="120" w:line="312" w:lineRule="auto" w:before="40"/>
        <w:ind w:firstLine="283"/>
        <w:jc w:val="both"/>
      </w:pPr>
      <w:r>
        <w:t>L'introduction massive de formations techniques, scientifiques et manuelles dans les cursus n'est pas une dévalorisation de l'éducation. C'est son adaptation à la réalité économique du continent. Un technicien en maintenance industrielle, un agronome en permaculture, un ingénieur en énergie solaire, un artisan spécialisé en transformation agroalimentaire — voilà les profils que l'AES a besoin de former par dizaines de milliers. La Corée du Sud, Singapour, l'Allemagne ont construit leur puissance économique sur une valorisation égale de toutes les formes d'intelligence : intellectuelle, technique, manuelle. L'Afrique n'a pas à réinventer ce modèle. Elle a à l'appliquer avec une ambition à la mesure de ses ressources humaines.</w:t>
      </w:r>
    </w:p>
    <w:p>
      <w:pPr>
        <w:widowControl w:val="1"/>
        <w:spacing w:after="120" w:line="312" w:lineRule="auto" w:before="40"/>
        <w:ind w:firstLine="283"/>
        <w:jc w:val="both"/>
      </w:pPr>
      <w:r>
        <w:t>Le contenu de l'enseignement est aussi critique que son accès. Les programmes hérités de la colonisation valorisent la récitation, la reproduction de modèles importés, la formation de fonctionnaires pour une administration calquée sur celle de la métropole. Ce modèle pédagogique fabrique des diplômés qui ne savent pas réparer un moteur, cultiver une terre avec des méthodes modernes, coder un programme, gérer une coopérative, ou transformer localement une ressource naturelle. Il fabrique des consommateurs de savoirs étrangers, pas des producteurs de solutions locales.</w:t>
      </w:r>
    </w:p>
    <w:p>
      <w:pPr>
        <w:widowControl w:val="1"/>
        <w:spacing w:after="120" w:line="312" w:lineRule="auto" w:before="40"/>
        <w:ind w:firstLine="283"/>
        <w:jc w:val="both"/>
      </w:pPr>
      <w:r>
        <w:t>Le phénomène d'écrémage progressif des filles dans les systèmes scolaires africains est une réalité documentée et inadmissible. À chaque palier — primaire vers collège, collège vers lycée, lycée vers université — une fraction des filles quitte le système, poussée par des contraintes économiques ou socioculturelles : mariage précoce, tâches domestiques, insécurité des trajets, coûts cachés. Or chaque année d'éducation supplémentaire d'une fille augmente ses revenus futurs de 10 à 20 %, retarde l'âge du premier mariage, réduit la mortalité infantile, et améliore la santé de sa famille. L'éducation des filles n'est pas un enjeu de genre. C'est un levier macroéconomique de première importance.</w:t>
      </w:r>
    </w:p>
    <w:p>
      <w:pPr>
        <w:widowControl w:val="1"/>
        <w:spacing w:before="160" w:after="40"/>
        <w:ind w:left="680" w:right="454"/>
        <w:keepLines w:val="1"/>
        <w:pBdr>
          <w:left w:val="single" w:sz="32" w:space="14" w:color="7B1E1E"/>
        </w:pBdr>
      </w:pPr>
      <w:r>
        <w:rPr>
          <w:i/>
          <w:sz w:val="21"/>
        </w:rPr>
        <w:t>« La gratuité scolaire ne doit pas se limiter à une simple suppression des frais. Elle doit s'accompagner d'investissements durables pour assurer la qualité de l'enseignement. Construire des salles de classe, recruter des enseignants compétents, garantir le suivi rigoureux — voilà ce que signifie prendre la jeunesse au sérieux. »</w:t>
      </w:r>
    </w:p>
    <w:p>
      <w:pPr>
        <w:widowControl w:val="1"/>
        <w:spacing w:before="0" w:after="200"/>
        <w:ind w:left="680" w:right="454"/>
        <w:keepLines w:val="1"/>
      </w:pPr>
      <w:r>
        <w:rPr>
          <w:i/>
          <w:sz w:val="19"/>
        </w:rPr>
        <w:t>— Parfait Patient Ndom, analyste, sur la politique éducative africaine</w:t>
      </w:r>
    </w:p>
    <w:p>
      <w:pPr>
        <w:widowControl w:val="1"/>
        <w:spacing w:after="120" w:line="312" w:lineRule="auto" w:before="40"/>
        <w:ind w:firstLine="283"/>
        <w:jc w:val="both"/>
      </w:pPr>
      <w:r>
        <w:t>La Zambie du président Hakainde Hichilema a démontré qu'un choix politique courageux peut changer la trajectoire d'une génération. Depuis 2021, l'enseignement primaire et secondaire est gratuit — inscrit dans la loi. Frais d'inscription supprimés, uniformes accessibles, manuels scolaires fournis. La mesure cible directement les barrières économiques qui excluaient les enfants des familles modestes, en particulier les filles. Le Bénin a fait le même choix pour l'éducation des filles jusqu'à la terminale. Ce sont des actes politiques, pas des effets d'annonce : ils coûtent en budget, ils coûtent en infrastructure, ils coûtent en formation d'enseignants. Et ils transforment des sociétés.</w:t>
      </w:r>
    </w:p>
    <w:p>
      <w:pPr>
        <w:widowControl w:val="1"/>
        <w:spacing w:after="120" w:line="312" w:lineRule="auto" w:before="40"/>
        <w:ind w:firstLine="283"/>
        <w:jc w:val="both"/>
      </w:pPr>
      <w:r>
        <w:t>La démographie africaine pose le défi avec une clarté brutale. Plus de 60 % de la population africaine a moins de 25 ans. C'est le continent le plus jeune de la planète. Ce potentiel est soit la plus grande force géopolitique du XXIe siècle, soit la plus grande source d'instabilité — selon ce qu'on en fait. Un jeune Sahélien non scolarisé, sans perspective économique, est une cible de recrutement djihadiste. Un jeune Sahélien instruit, compétent, fier de son histoire, est un bâtisseur de souveraineté. L'équation est aussi simple que cela.</w:t>
      </w:r>
    </w:p>
    <w:p>
      <w:pPr>
        <w:widowControl w:val="1"/>
        <w:spacing w:after="120" w:line="312" w:lineRule="auto" w:before="40"/>
        <w:ind w:firstLine="283"/>
        <w:jc w:val="both"/>
      </w:pPr>
      <w:r>
        <w:t>La souveraineté militaire peut s'acquérir en quelques années. La souveraineté économique prend une génération. La souveraineté de l'esprit — celle qui rend les premières durables — se construit dans les salles de classe. C'est pourquoi les puissances coloniales ont toujours su que contrôler l'éducation d'un peuple, c'est contrôler son avenir. Et c'est pourquoi la rupture de l'AES avec le système néocolonial reste incomplète tant que le système éducatif hérité de la colonisation continue de reproduire des cadres formés à penser pour d'autres.</w:t>
      </w:r>
    </w:p>
    <w:p>
      <w:pPr>
        <w:pStyle w:val="Titre2"/>
        <w:pageBreakBefore w:val="1"/>
        <w:keepNext w:val="1"/>
      </w:pPr>
      <w:r>
        <w:rPr>
          <w:rFonts w:ascii="Garamond" w:hAnsi="Garamond"/>
          <w:b w:val="0"/>
          <w:color w:val="1A1A2E"/>
          <w:sz w:val="28"/>
        </w:rPr>
        <w:t>Chapitre 35b — L'éducation comme arme de souveraineté</w:t>
      </w:r>
    </w:p>
    <w:p w14:paraId="1AF2874E"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36 — Sankara avait raison</w:t>
      </w:r>
    </w:p>
    <w:p w14:paraId="653D8297"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widowControl w:val="1"/>
        <w:spacing w:after="120" w:line="312" w:lineRule="auto" w:before="40"/>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widowControl w:val="1"/>
        <w:spacing w:after="200" w:line="264" w:lineRule="auto"/>
        <w:ind w:left="680" w:right="700"/>
        <w:rPr>
          <w:rFonts w:ascii="Garamond" w:eastAsia="Arial" w:hAnsi="Garamond" w:cs="Arial"/>
          <w:i/>
          <w:iCs/>
          <w:color w:val="555555"/>
          <w:sz w:val="19"/>
          <w:szCs w:val="18"/>
        </w:rPr>
        <w:keepLines w:val="1"/>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widowControl w:val="1"/>
        <w:spacing w:after="120" w:line="312" w:lineRule="auto" w:before="40"/>
        <w:ind w:firstLine="283"/>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widowControl w:val="1"/>
        <w:spacing w:before="160" w:after="40" w:line="276" w:lineRule="auto"/>
        <w:ind w:left="680" w:right="454"/>
        <w:keepLines w:val="1"/>
        <w:pBdr>
          <w:left w:val="single" w:sz="32" w:space="14" w:color="7B1E1E"/>
        </w:pBdr>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widowControl w:val="1"/>
        <w:spacing w:after="200" w:line="264" w:lineRule="auto"/>
        <w:ind w:left="680" w:right="700"/>
        <w:keepLines w:val="1"/>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widowControl w:val="1"/>
        <w:spacing w:after="120" w:line="312" w:lineRule="auto" w:before="40"/>
        <w:jc w:val="both"/>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widowControl w:val="1"/>
        <w:spacing w:after="120" w:line="312" w:lineRule="auto" w:before="40"/>
        <w:ind w:left="720" w:firstLine="283"/>
        <w:jc w:val="both"/>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widowControl w:val="1"/>
        <w:spacing w:after="200" w:line="288" w:lineRule="auto"/>
        <w:ind w:left="680" w:right="454"/>
        <w:jc w:val="center"/>
        <w:rPr>
          <w:rFonts w:ascii="Garamond" w:eastAsia="Arial" w:hAnsi="Garamond" w:cs="Arial"/>
          <w:i/>
          <w:iCs/>
          <w:sz w:val="18"/>
          <w:szCs w:val="18"/>
        </w:rPr>
        <w:keepLines w:val="1"/>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widowControl w:val="1"/>
        <w:spacing w:after="120" w:line="312" w:lineRule="auto" w:before="40"/>
        <w:ind w:firstLine="283"/>
        <w:jc w:val="both"/>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widowControl w:val="1"/>
        <w:spacing w:after="120" w:line="312" w:lineRule="auto" w:before="40"/>
        <w:ind w:firstLine="283"/>
        <w:jc w:val="both"/>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widowControl w:val="1"/>
        <w:spacing w:after="120" w:line="312" w:lineRule="auto" w:before="40"/>
        <w:ind w:firstLine="283"/>
        <w:jc w:val="both"/>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widowControl w:val="1"/>
        <w:spacing w:after="120" w:line="312" w:lineRule="auto" w:before="40"/>
        <w:ind w:left="720" w:firstLine="283"/>
        <w:jc w:val="both"/>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widowControl w:val="1"/>
        <w:spacing w:after="200" w:line="288" w:lineRule="auto"/>
        <w:ind w:left="680" w:right="454"/>
        <w:jc w:val="right"/>
        <w:rPr>
          <w:rFonts w:ascii="Garamond" w:eastAsia="Arial" w:hAnsi="Garamond" w:cs="Arial"/>
          <w:i/>
          <w:iCs/>
          <w:sz w:val="18"/>
          <w:szCs w:val="18"/>
        </w:rPr>
        <w:keepLines w:val="1"/>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widowControl w:val="1"/>
        <w:spacing w:after="120" w:line="312" w:lineRule="auto" w:before="40"/>
        <w:ind w:firstLine="283"/>
        <w:jc w:val="both"/>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widowControl w:val="1"/>
        <w:spacing w:after="80" w:line="312" w:lineRule="auto"/>
        <w:jc w:val="center"/>
      </w:pPr>
      <w:r>
        <w:rPr>
          <w:rFonts w:ascii="Garamond" w:hAnsi="Garamond"/>
          <w:color w:val="7B1E1E"/>
          <w:sz w:val="22"/>
        </w:rPr>
        <w:t>★ ★ ★</w:t>
      </w:r>
    </w:p>
    <w:p w14:paraId="018F0994" w14:textId="77777777" w:rsidR="006E716F" w:rsidRDefault="00000000">
      <w:pPr>
        <w:pStyle w:val="Titre2"/>
        <w:pageBreakBefore/>
        <w:pBdr>
          <w:bottom w:val="single" w:sz="4" w:space="4" w:color="888888"/>
        </w:pBdr>
        <w:spacing w:before="720" w:after="280" w:line="288" w:lineRule="auto"/>
        <w:keepNext w:val="1"/>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pPr>
              <w:spacing w:before="280"/>
            </w:pPr>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1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widowControl w:val="1"/>
        <w:keepNext/>
        <w:pageBreakBefore/>
        <w:spacing w:before="480" w:after="360" w:line="312" w:lineRule="auto"/>
        <w:jc w:val="center"/>
        <w:pBdr>
          <w:bottom w:val="single" w:sz="8" w:space="8" w:color="C8A951"/>
        </w:pBdr>
      </w:pPr>
      <w:r>
        <w:rPr>
          <w:rFonts w:ascii="Garamond" w:eastAsia="Arial" w:hAnsi="Garamond" w:cs="Arial"/>
          <w:b/>
          <w:bCs/>
          <w:color w:val="1A1A2E"/>
          <w:sz w:val="34"/>
          <w:szCs w:val="36"/>
        </w:rPr>
        <w:lastRenderedPageBreak/>
        <w:t>ÉPILOGUE</w:t>
      </w:r>
    </w:p>
    <w:p w14:paraId="05EFBC99" w14:textId="77777777" w:rsidR="006E716F" w:rsidRDefault="00000000">
      <w:pPr>
        <w:widowControl w:val="1"/>
        <w:spacing w:before="40" w:after="120" w:line="312" w:lineRule="auto"/>
        <w:jc w:val="both"/>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keepNext w:val="1"/>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keepNext w:val="1"/>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widowControl w:val="1"/>
        <w:spacing w:after="120" w:line="312" w:lineRule="auto" w:before="40"/>
        <w:ind w:firstLine="283"/>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widowControl w:val="1"/>
        <w:spacing w:after="80" w:line="312" w:lineRule="auto"/>
        <w:ind w:left="2160" w:firstLine="720"/>
        <w:jc w:val="center"/>
        <w:rPr>
          <w:rFonts w:ascii="Garamond" w:hAnsi="Garamond"/>
          <w:b/>
          <w:bCs/>
          <w:color w:val="D99594" w:themeColor="accent2" w:themeTint="99"/>
          <w:sz w:val="22"/>
          <w:szCs w:val="22"/>
        </w:rPr>
      </w:pPr>
      <w:bookmarkStart w:id="3" w:name="_Hlk231330285"/>
      <w:r w:rsidRPr="00745E9D">
        <w:rPr>
          <w:rFonts w:ascii="Garamond" w:hAnsi="Garamond"/>
          <w:b/>
          <w:bCs/>
          <w:color w:val="7B1E1E"/>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widowControl w:val="1"/>
        <w:spacing w:after="120" w:line="312" w:lineRule="auto" w:before="40"/>
        <w:ind w:firstLine="283"/>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widowControl w:val="1"/>
        <w:spacing w:after="120" w:line="312" w:lineRule="auto" w:before="40"/>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dignité, non.</w:t>
      </w:r>
    </w:p>
    <w:p w14:paraId="549B7C30" w14:textId="77777777" w:rsidR="006E716F" w:rsidRDefault="00000000">
      <w:pPr>
        <w:widowControl w:val="1"/>
        <w:spacing w:after="120" w:line="312" w:lineRule="auto" w:before="40"/>
        <w:ind w:firstLine="397"/>
        <w:jc w:val="both"/>
      </w:pPr>
      <w:r>
        <w:rPr>
          <w:rFonts w:ascii="Garamond" w:eastAsia="Georgia" w:hAnsi="Garamond" w:cs="Georgia"/>
          <w:color w:val="1A1A1A"/>
          <w:sz w:val="22"/>
          <w:szCs w:val="22"/>
        </w:rPr>
        <w:t>La liberté, jamais.</w:t>
      </w:r>
    </w:p>
    <w:p w14:paraId="6BF81853"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widowControl w:val="1"/>
        <w:pageBreakBefore/>
        <w:pBdr>
          <w:bottom w:val="single" w:sz="6" w:space="6" w:color="C8A951"/>
        </w:pBdr>
        <w:spacing w:before="720" w:after="280" w:line="312" w:lineRule="auto"/>
        <w:jc w:val="both"/>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widowControl w:val="1"/>
        <w:spacing w:before="40" w:after="120" w:line="312" w:lineRule="auto"/>
        <w:ind w:firstLine="283"/>
        <w:jc w:val="both"/>
      </w:pPr>
      <w:r>
        <w:rPr>
          <w:rFonts w:ascii="Garamond" w:hAnsi="Garamond"/>
          <w:b/>
          <w:sz w:val="22"/>
        </w:rPr>
        <w:t>Note sur les sources panafricanistes et militantes</w:t>
      </w:r>
    </w:p>
    <w:p w14:paraId="0FF00002" w14:textId="77777777" w:rsidR="0028409C" w:rsidRDefault="00000000">
      <w:pPr>
        <w:widowControl w:val="1"/>
        <w:spacing w:after="120" w:line="312" w:lineRule="auto" w:before="40"/>
        <w:ind w:firstLine="283"/>
        <w:jc w:val="both"/>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widowControl w:val="1"/>
        <w:spacing w:after="120" w:line="312" w:lineRule="auto" w:before="40"/>
        <w:ind w:firstLine="283"/>
        <w:jc w:val="both"/>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widowControl w:val="1"/>
        <w:spacing w:after="120" w:line="312" w:lineRule="auto" w:before="40"/>
        <w:ind w:firstLine="283"/>
        <w:jc w:val="both"/>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widowControl w:val="1"/>
        <w:spacing w:after="120" w:line="312" w:lineRule="auto" w:before="40"/>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widowControl w:val="1"/>
        <w:spacing w:after="120" w:line="312" w:lineRule="auto" w:before="40"/>
        <w:ind w:firstLine="283"/>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widowControl w:val="1"/>
        <w:spacing w:after="120" w:line="312" w:lineRule="auto" w:before="40"/>
        <w:ind w:firstLine="283"/>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widowControl w:val="1"/>
        <w:spacing w:after="160" w:line="288" w:lineRule="auto"/>
        <w:jc w:val="center"/>
        <w:rPr>
          <w:sz w:val="28"/>
          <w:szCs w:val="28"/>
        </w:rPr>
      </w:pPr>
      <w:r>
        <w:rPr>
          <w:rFonts w:ascii="Garamond" w:hAnsi="Garamond"/>
          <w:b/>
          <w:bCs/>
          <w:color w:val="7B1E1E"/>
          <w:sz w:val="56"/>
          <w:szCs w:val="56"/>
        </w:rPr>
        <w:t>★ ★ ★</w:t>
      </w:r>
      <w:r w:rsidR="00F50583">
        <w:rPr>
          <w:rFonts w:ascii="Garamond" w:hAnsi="Garamond"/>
          <w:b/>
          <w:bCs/>
          <w:color w:val="1A1A2E"/>
          <w:sz w:val="56"/>
          <w:szCs w:val="56"/>
        </w:rPr>
      </w:r>
      <w:r>
        <w:rPr>
          <w:rFonts w:ascii="Garamond" w:hAnsi="Garamond"/>
          <w:b/>
          <w:bCs/>
          <w:color w:val="1A1A2E"/>
          <w:sz w:val="56"/>
          <w:szCs w:val="56"/>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rFonts w:ascii="Garamond" w:hAnsi="Garamond" w:cs="Garamond"/>
          <w:b/>
          <w:bCs/>
          <w:color w:val="1A1A2E"/>
          <w:sz w:val="28"/>
          <w:szCs w:val="28"/>
        </w:rPr>
      </w:r>
      <w:r w:rsidRPr="00F50583">
        <w:rPr>
          <w:rFonts w:ascii="Garamond" w:hAnsi="Garamond"/>
          <w:b/>
          <w:bCs/>
          <w:color w:val="1A1A2E"/>
          <w:sz w:val="28"/>
          <w:szCs w:val="28"/>
        </w:rPr>
      </w:r>
      <w:r w:rsidRPr="00F50583">
        <w:rPr>
          <w:sz w:val="28"/>
          <w:szCs w:val="28"/>
        </w:rPr>
      </w:r>
    </w:p>
    <w:p w14:paraId="2ED86905" w14:textId="77777777" w:rsidR="006E716F" w:rsidRDefault="00000000">
      <w:pPr>
        <w:widowControl w:val="1"/>
        <w:spacing w:before="160" w:after="40" w:line="276" w:lineRule="auto"/>
        <w:ind w:left="680" w:right="454"/>
        <w:rPr>
          <w:rFonts w:ascii="Garamond" w:eastAsia="Arial" w:hAnsi="Garamond" w:cs="Arial"/>
          <w:i/>
          <w:iCs/>
          <w:color w:val="8B0000"/>
          <w:sz w:val="21"/>
        </w:rPr>
        <w:keepLines w:val="1"/>
        <w:pBdr>
          <w:left w:val="single" w:sz="32" w:space="14" w:color="7B1E1E"/>
        </w:pBdr>
      </w:pPr>
      <w:r>
        <w:rPr>
          <w:rFonts w:ascii="Garamond" w:eastAsia="Arial" w:hAnsi="Garamond" w:cs="Arial"/>
          <w:i/>
          <w:iCs/>
          <w:color w:val="8B0000"/>
          <w:sz w:val="21"/>
        </w:rPr>
        <w:t>« Restons vigilants. »</w:t>
      </w:r>
    </w:p>
    <w:p>
      <w:pPr>
        <w:widowControl w:val="1"/>
        <w:pStyle w:val="Normal"/>
        <w:spacing w:after="200"/>
        <w:ind w:left="680" w:right="454"/>
        <w:keepLines w:val="1"/>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widowControl w:val="1"/>
        <w:spacing w:after="120" w:line="312" w:lineRule="auto" w:before="40"/>
        <w:ind w:firstLine="283"/>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widowControl w:val="1"/>
        <w:spacing w:after="200" w:line="312" w:lineRule="auto"/>
        <w:ind w:left="680"/>
        <w:jc w:val="both"/>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p>
      <w:pPr>
        <w:widowControl w:val="1"/>
        <w:spacing w:after="120" w:line="312" w:lineRule="auto" w:before="40"/>
        <w:ind w:firstLine="283"/>
        <w:jc w:val="both"/>
      </w:pPr>
      <w:r>
        <w:t>La question que pose cette révélation n'est pas seulement nigérienne. Elle est universelle : un président africain élu — Issoufou, présenté comme un démocrate modèle par Paris et Washington — a accepté d'installer sur son territoire une infrastructure militaire étrangère sans en informer son propre parlement, ni ses propres généraux. Il a accepté que son pays finance lui-même le coût de cette occupation. Il a accepté que la puissance étrangère n'ait aucune obligation de protéger les populations du pays qu'elle occupait.</w:t>
      </w:r>
    </w:p>
    <w:p>
      <w:pPr>
        <w:widowControl w:val="1"/>
        <w:spacing w:after="120" w:line="312" w:lineRule="auto" w:before="40"/>
        <w:ind w:firstLine="283"/>
        <w:jc w:val="both"/>
      </w:pPr>
      <w:r>
        <w:t>La base d'Agadez concentre les deux dimensions de l'hypocrisie occidentale au Sahel. Officiellement : un outil de lutte contre le terrorisme. Réellement : une plateforme de surveillance de toute la bande sahélo-saharienne, des flux migratoires vers l'Europe, des mouvements russes et chinois en Afrique centrale et occidentale. La sécurité des populations nigériennes n'était pas l'objectif. Elle était le prétexte. Et quand le CNSP a exigé le départ des forces américaines en 2024, Washington a perdu sa fenêtre stratégique sur tout le Sahel central — une perte de capacité renseignement qui n'a pas d'équivalent dans la présence militaire américaine en Afrique de l'Ouest.</w:t>
      </w:r>
    </w:p>
    <w:p>
      <w:pPr>
        <w:widowControl w:val="1"/>
        <w:spacing w:before="160" w:after="40"/>
        <w:ind w:left="680" w:right="454"/>
        <w:keepLines w:val="1"/>
        <w:pBdr>
          <w:left w:val="single" w:sz="32" w:space="14" w:color="7B1E1E"/>
        </w:pBdr>
      </w:pPr>
      <w:r>
        <w:rPr>
          <w:i/>
          <w:sz w:val="21"/>
        </w:rPr>
        <w:t>« Restons vigilants. »</w:t>
      </w:r>
    </w:p>
    <w:p>
      <w:pPr>
        <w:widowControl w:val="1"/>
        <w:spacing w:before="0" w:after="200"/>
        <w:ind w:left="680" w:right="454"/>
        <w:keepLines w:val="1"/>
      </w:pPr>
      <w:r>
        <w:rPr>
          <w:i/>
          <w:sz w:val="19"/>
        </w:rPr>
        <w:t>— Général Abdourahamane Tiani, 13 novembre 2025</w:t>
      </w:r>
    </w:p>
    <w:p>
      <w:pPr>
        <w:spacing w:before="160" w:after="40"/>
        <w:ind w:left="680"/>
      </w:pPr>
      <w:r>
        <w:rPr>
          <w:i/>
          <w:sz w:val="21"/>
        </w:rPr>
      </w:r>
    </w:p>
    <w:p>
      <w:pPr>
        <w:spacing w:before="0" w:after="200"/>
        <w:ind w:left="680"/>
      </w:pPr>
      <w:r>
        <w:rPr>
          <w:i/>
          <w:sz w:val="19"/>
        </w:rPr>
      </w:r>
    </w:p>
    <w:p>
      <w:pPr>
        <w:widowControl w:val="1"/>
        <w:spacing w:before="160" w:after="160"/>
        <w:jc w:val="center"/>
      </w:pPr>
      <w:r>
        <w:rPr>
          <w:color w:val="7B1E1E"/>
        </w:rPr>
        <w:t>★ ★ ★</w:t>
      </w:r>
    </w:p>
    <w:p>
      <w:pPr>
        <w:widowControl w:val="1"/>
        <w:spacing w:before="160" w:after="160"/>
        <w:jc w:val="center"/>
      </w:pPr>
      <w:r>
        <w:rPr>
          <w:color w:val="7B1E1E"/>
        </w:rPr>
        <w:t>★ ★ ★</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autoHyphenation w:val="1"/>
  <w:zoom w:percent="120"/>
  <w:embedTrueTypeFonts/>
  <w:mirrorMargins/>
  <w:proofState w:spelling="clean" w:grammar="clean"/>
  <w:defaultTabStop w:val="720"/>
  <w:hyphenationZone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Garamond" w:hAnsi="Garamond"/>
    </w:rPr>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