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Les biens mal acquis: la fortune compradore devant les juges</w:t>
      </w:r>
    </w:p>
    <w:p>
      <w:r>
        <w:t>L'empire n'a pas de mémoire pour ses valets — mais ses valets ont des hôtels particuliers. Les «biens mal acquis» sont la face visible du contrat compradore: des biens acquis en France — immobilier, voitures de luxe, comptes bancaires — par des dirigeants africains et leur entourage, au moyen de fonds publics détournés dans leur pays d'origine et blanchis sur le territoire français.</w:t>
      </w:r>
    </w:p>
    <w:p>
      <w:r>
        <w:t>En 2008, la justice française ouvre une information judiciaire sur les avoirs détenus en France par trois chefs d'État africains, pivots de l'influence française sur le continent: Omar Bongo (Gabon, au pouvoir depuis quarante ans), Denis Sassou-Nguesso (Congo-Brazzaville) et Teodorin Obiang (vice-président de Guinée équatoriale). La juge d'instruction donne suite à une plainte déposée par Transparency International France et l'association Sherpa — après que le parquet de Paris avait classé le dossier sans suite à deux reprises, illustrant à lui seul la perméabilité de l'institution judiciaire française aux pressions diplomatiques. Les biens documentés ne souffrent guère d'interprétation: pour Bongo, un hôtel particulier et quatre appartements dans le 16e arrondissement de Paris; pour Sassou-Nguesso, un hôtel particulier de 700 m² estimé à 10 millions d'euros dans les Yvelines et un appartement dans le 7e arrondissement. «Tout ça, il l'a payé avec son salaire de chef d'État africain?» («Face à Face», TV débat, v. 2008).</w:t>
      </w:r>
    </w:p>
    <w:p>
      <w:r>
        <w:t>Les montants parlent d'eux-mêmes: pour la seule Guinée équatoriale, les avoirs saisis à l'issue des procédures contre Teodorin Obiang sont évalués à environ 150 millions d'euros — une somme qui aurait permis de vacciner trois fois la population du pays. En comptant les plus de vingt affaires actives en France, les ordres de grandeur dépassent les centaines de millions d'euros. Ce n'est pas de la corruption marginale: c'est un régime de captation systémique, où les élites compradores placent en France le produit de l'extraction africaine — reproduisant, à leur échelle, le mécanisme de sortie de capitaux documenté au chapitre 7 pour le franc CFA.</w:t>
      </w:r>
    </w:p>
    <w:p>
      <w:r>
        <w:t>Mais la véritable portée de ces affaires tient dans ce que la juriste Perdriel Vissière (Sherpa) nomme «dénoncer un système». Car le système a deux faces, et les plaignants le savent: «La corruption a un corrupteur ET un corruptible.» La France est nommée des deux côtés du guichet. La banque FIBA drainait, selon les enquêteurs, l'argent de Bongo et de Chirac; elle a disparu avec ses fonds peu après les premières dénonciations d'Eva Joly. Les diamants de Bokassa, acceptés par Giscard d'Estaing, n'ont jamais fait l'objet de poursuites françaises. Bongo aurait financé des campagnes électorales françaises — nommément, selon le journaliste Camara (UIJA). Areva est pointée comme corrupteur au Niger, en miroir des chefs d'État ciblés. Transparency International France épingle elle-même la France dans ses rapports annuels sur la corruption des entreprises.</w:t>
      </w:r>
    </w:p>
    <w:p>
      <w:r>
        <w:t>Cette réciprocité n'invalide pas les procédures. Elle les élargit — et fait de la réponse de Paris un indicateur politique autant que judiciaire. Sarkozy avait proclamé la «rupture avec la Françafrique»; mais son gouvernement avait écarté Jean-Marie Bockel du moment où celui-ci avait demandé «l'acte de décès de la Françafrique». La juge d'instruction peut être indépendante; les parquets restent exposés à la pression diplomatique — dont tous les acteurs du débat reconnaissent l'existence. La leçon est structurelle: la Françafrique produit non seulement des compradore qui pillent leur peuple, mais aussi des circuits financiers franco-africains qui couvrent les deux partis, et une inertie judiciaire calibrée par les intérêts des États.</w:t>
      </w:r>
    </w:p>
    <w:p>
      <w:r>
        <w:t>La leçon la plus durable des procédures «biens mal acquis» n'est donc pas judiciaire: c'est le principe, arraché après des années de plaidoyer, que les avoirs confisqués doivent revenir aux populations d'origine. Avant l'adoption du mécanisme légal — inscrit dans la loi «développement solidaire et lutte contre les inégalités mondiales» —, ces biens tombaient dans le budget général de l'État français: de l'argent volé en Afrique, retenu en France. La restitution elle-même exige des garanties: là où la société civile du pays d'origine a été écartée du processus — Suisse, États-Unis, Royaume-Uni l'ont montré —, l'argent réapparaît dans les mains de ceux qui l'avaient détourné. Restituer sans démocratiser, c'est boucler la boucle.</w:t>
      </w:r>
    </w:p>
    <w:p>
      <w:r>
        <w:t>Les militants anticorruption gabonais qui travaillaient avec Sherpa avaient été arrêtés illégalement en décembre 2008. L'empire protège ses valets — jusqu'à ce qu'ils ne servent plus. Omar Bongo lui-même était, selon l'analyste Camara, «victime de la mafia financière française — ET coupable». Les deux ne s'excluent pas: le comprador protège l'empire, l'empire protège le comprador, jusqu'au moment où la juge d'instruction trouve son chemin. Ce que Mobutu, Bongo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