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Date</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Étape</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Élément</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Niveau</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Terme officiel</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Projet</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Ce qui s'est déversé vers le Sahel</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Réalité des corridors transsahariens</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Grief</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Dispositif</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Donateur / année</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Dimension</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Indicateur</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pPr>
              <w:jc w:val="right"/>
            </w:pPr>
            <w:r>
              <w:rPr>
                <w:rFonts w:ascii="FreeSerif" w:hAnsi="FreeSerif"/>
                <w:i/>
                <w:color w:val="2C3A4A"/>
                <w:sz w:val="18"/>
              </w:rPr>
              <w:t>Fait documenté</w:t>
            </w:r>
          </w:p>
        </w:tc>
        <w:tc>
          <w:tcPr>
            <w:tcW w:type="dxa" w:w="4677"/>
            <w:tcBorders>
              <w:bottom w:val="none" w:sz="0" w:space="0" w:color="auto"/>
              <w:left w:val="none" w:sz="0" w:space="0" w:color="auto"/>
              <w:right w:val="none" w:sz="0" w:space="0" w:color="auto"/>
              <w:insideV w:val="none" w:sz="0" w:space="0" w:color="auto"/>
              <w:top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insideV w:val="none" w:sz="0" w:space="0" w:color="auto"/>
              <w:top w:val="none" w:sz="0" w:space="0" w:color="auto"/>
              <w:insideH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insideV w:val="none" w:sz="0" w:space="0" w:color="auto"/>
              <w:right w:val="none" w:sz="0" w:space="0" w:color="auto"/>
              <w:top w:val="none" w:sz="0" w:space="0" w:color="auto"/>
              <w:insideH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