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pPr>
        <w:pStyle w:val="Heading2"/>
      </w:pPr>
      <w:r>
        <w:t>La Centrafrique: la question du programme SPEAR</w:t>
      </w:r>
    </w:p>
    <w:p>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r>
        <w:t>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millions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orphelines hier, territoire d'accueil de déportés aujourd'hui. La souveraineté n'est pas niée; elle est achetée.</w:t>
      </w:r>
    </w:p>
    <w:p>
      <w: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dirigé par un certain Kerembeisse. Selon les orateurs — Socrate Gutenberg Taramboye, Yannick Davy Anguida, Alvaro Mapouka, Mac Laurens Dakou, Steve Yombi — ce groupe agirait comme «instrument d'influence néocoloniale» au service de forces étrangères visant à fragiliser la souveraineté nationale; il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médiatiques.»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r>
        <w:t>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une autorité financière française (désignée sous l'acronyme GAF) pour avoir reçu une somme importante sur son compte bancaire à cette fin. Cette déclaration, recueillie à la source et non contestée à la date de publication, est retranscrite avec son statut 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RCA en fait l'expérience par quatre voies simultanées: les armes orphelines du SPEAR, le territoire monnayé pour les déportés américains, la plainte CPI comme arme juridique, et la diaspora de France comme levier financier de déstabilisation électorale. Le manuel est le même; seuls les instruments changent.</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triple pression américaine et néocoloniale — SPEAR, déportés, CPI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