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3A3AA4C1" w14:textId="77777777" w:rsidR="00124B22" w:rsidRPr="00F01E86" w:rsidRDefault="00000000">
      <w:pPr>
        <w:spacing w:after="60"/>
        <w:ind w:left="360"/>
        <w:rPr>
          <w:rFonts w:ascii="Garamond" w:hAnsi="Garamond"/>
        </w:rPr>
      </w:pPr>
      <w:r>
        <w:rPr>
          <w:rFonts w:ascii="Garamond" w:hAnsi="Garamond"/>
        </w:rPr>
        <w:t xml:space="preserve">Chapitre 13c — Ouattara, Compaoré, Mobutu : portraits de la trahison instrumentalisée</w:t>
      </w:r>
    </w:p>
    <w:p w14:paraId="3A3AA4C1" w14:textId="77777777" w:rsidR="00124B22" w:rsidRPr="00F01E86" w:rsidRDefault="00000000">
      <w:pPr>
        <w:spacing w:after="60"/>
        <w:ind w:left="360"/>
        <w:rPr>
          <w:rFonts w:ascii="Garamond" w:hAnsi="Garamond"/>
        </w:rPr>
      </w:pPr>
      <w:r>
        <w:rPr>
          <w:rFonts w:ascii="Garamond" w:hAnsi="Garamond"/>
        </w:rPr>
        <w:t>Chapitre 13d — L'audio du 17 février 2022 : Ouattara et Boubou Cissé en flagrant délit de complot</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Chapitre 18b — La base d'Agadez : un accord imposé sans le consentement du Niger</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6C82684" w14:textId="77777777" w:rsidR="00124B22" w:rsidRPr="00F01E86" w:rsidRDefault="00000000">
      <w:pPr>
        <w:spacing w:after="60"/>
        <w:ind w:left="360"/>
        <w:rPr>
          <w:rFonts w:ascii="Garamond" w:hAnsi="Garamond"/>
        </w:rPr>
      </w:pPr>
      <w:r>
        <w:rPr>
          <w:rFonts w:ascii="Garamond" w:hAnsi="Garamond"/>
        </w:rPr>
        <w:t xml:space="preserve">Chapitre 21b — L'Algérie et le Mali : de la fraternité anticoloniale à la trahison</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577A8AFD" w14:textId="387A056D" w:rsidR="00124B22" w:rsidRPr="00F01E86" w:rsidRDefault="00000000">
      <w:pPr>
        <w:spacing w:after="60"/>
        <w:ind w:left="360"/>
        <w:rPr>
          <w:rFonts w:ascii="Garamond" w:hAnsi="Garamond"/>
        </w:rPr>
      </w:pPr>
      <w:r>
        <w:rPr>
          <w:rFonts w:ascii="Garamond" w:hAnsi="Garamond"/>
        </w:rPr>
        <w:t xml:space="preserve">Chapitre 22b — La Turquie et le Sahel : Erdoğan, les Bayraktar et la diplomatie du partenaire non-colonial</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14:paraId="56434F7D" w14:textId="77777777" w:rsidR="00124B22" w:rsidRPr="00F01E86" w:rsidRDefault="00000000">
      <w:pPr>
        <w:spacing w:after="60"/>
        <w:ind w:left="360"/>
        <w:rPr>
          <w:rFonts w:ascii="Garamond" w:hAnsi="Garamond"/>
        </w:rPr>
      </w:pPr>
      <w:r>
        <w:rPr>
          <w:rFonts w:ascii="Garamond" w:hAnsi="Garamond"/>
        </w:rPr>
        <w:t xml:space="preserve">Chapitre 29b — La vraie question démocratique dans l'AES : légitimité, institutions et infiltration</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80" w:line="312" w:lineRule="auto"/>
        <w:ind w:firstLine="397"/>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pPr>
        <w:spacing w:before="160" w:after="160"/>
      </w:pPr>
      <w:r>
        <w:t>★★★</w:t>
      </w:r>
    </w:p>
    <w:p>
      <w:pPr>
        <w:spacing w:before="0" w:after="200"/>
        <w:ind w:left="680"/>
      </w:pPr>
      <w:r>
        <w:rPr>
          <w:i/>
          <w:sz w:val="19"/>
        </w:rPr>
        <w:t>— Dr. Rufin Viclère Mabiala, analyste panafricaniste</w:t>
      </w:r>
    </w:p>
    <w:p>
      <w:pPr>
        <w:spacing w:before="160" w:after="40"/>
        <w:ind w:left="680"/>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spacing w:after="80"/>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spacing w:after="80"/>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spacing w:before="0" w:after="200"/>
        <w:ind w:left="680"/>
      </w:pPr>
      <w:r>
        <w:rPr>
          <w:i/>
          <w:sz w:val="19"/>
        </w:rPr>
        <w:t>— Dr. Rufin Viclère Mabiala, analyste panafricaniste</w:t>
      </w:r>
    </w:p>
    <w:p>
      <w:pPr>
        <w:spacing w:before="160" w:after="40"/>
        <w:ind w:left="680"/>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spacing w:after="80"/>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spacing w:after="80"/>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spacing w:before="0" w:after="200"/>
        <w:ind w:left="680"/>
      </w:pPr>
      <w:r>
        <w:rPr>
          <w:i/>
          <w:sz w:val="19"/>
        </w:rPr>
        <w:t>— Dr. Rufin Viclère Mabiala, analyste panafricaniste</w:t>
      </w:r>
    </w:p>
    <w:p>
      <w:pPr>
        <w:spacing w:before="160" w:after="40"/>
        <w:ind w:left="680"/>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spacing w:after="80"/>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spacing w:after="80"/>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spacing w:before="0" w:after="200"/>
        <w:ind w:left="680"/>
      </w:pPr>
      <w:r>
        <w:rPr>
          <w:i/>
          <w:sz w:val="19"/>
        </w:rPr>
        <w:t>— Dr. Rufin Viclère Mabiala, analyste panafricaniste</w:t>
      </w:r>
    </w:p>
    <w:p>
      <w:pPr>
        <w:spacing w:before="160" w:after="40"/>
        <w:ind w:left="680"/>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spacing w:after="80"/>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spacing w:after="80"/>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Pr>
      <w:r>
        <w:t>Chapitre 13c — Ouattara, Compaoré, Mobutu : portraits de la trahison instrumentalisée</w:t>
      </w:r>
    </w:p>
    <w:p>
      <w:pPr>
        <w:spacing w:before="160" w:after="160"/>
      </w:pPr>
      <w:r>
        <w:t>★★★</w:t>
      </w:r>
    </w:p>
    <w:p>
      <w:pPr>
        <w:spacing w:after="80"/>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spacing w:after="80"/>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spacing w:before="0" w:after="200"/>
        <w:ind w:left="680"/>
      </w:pPr>
      <w:r>
        <w:rPr>
          <w:i/>
          <w:sz w:val="19"/>
        </w:rPr>
        <w:t>— Boubou Cissé / Alassane Ouattara, 17 février 2022 [audio intercepté]</w:t>
      </w:r>
    </w:p>
    <w:p>
      <w:pPr>
        <w:spacing w:before="160" w:after="40"/>
        <w:ind w:left="680"/>
      </w:pPr>
      <w:r>
        <w:rPr>
          <w:i/>
          <w:sz w:val="21"/>
        </w:rPr>
        <w:t>« On a deux sommets à Accra. Le premier... cela contraindra le Mali et la Guinée. »</w:t>
      </w:r>
    </w:p>
    <w:p>
      <w:pPr>
        <w:spacing w:after="80"/>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spacing w:after="80"/>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spacing w:before="0" w:after="200"/>
        <w:ind w:left="680"/>
      </w:pPr>
      <w:r>
        <w:rPr>
          <w:i/>
          <w:sz w:val="19"/>
        </w:rPr>
        <w:t>— Boubou Cissé, 17 février 2022 [audio intercepté]</w:t>
      </w:r>
    </w:p>
    <w:p>
      <w:pPr>
        <w:spacing w:before="160" w:after="40"/>
        <w:ind w:left="680"/>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spacing w:after="80"/>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spacing w:after="80"/>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spacing w:before="0" w:after="200"/>
        <w:ind w:left="680"/>
      </w:pPr>
      <w:r>
        <w:rPr>
          <w:i/>
          <w:sz w:val="19"/>
        </w:rPr>
        <w:t>— Boubou Cissé, 17 février 2022 [audio intercepté, source : réseaux panafricanistes]</w:t>
      </w:r>
    </w:p>
    <w:p>
      <w:pPr>
        <w:spacing w:before="160" w:after="40"/>
        <w:ind w:left="680"/>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spacing w:after="80"/>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spacing w:after="80"/>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Pr>
      <w: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spacing w:before="160" w:after="160"/>
      </w:pPr>
      <w:r>
        <w:t>★★★</w:t>
      </w:r>
    </w:p>
    <w:p>
      <w:pPr>
        <w:spacing w:before="0" w:after="200"/>
        <w:ind w:left="680"/>
      </w:pPr>
      <w:r>
        <w:rPr>
          <w:i/>
          <w:sz w:val="19"/>
        </w:rPr>
        <w:t>— Général Abdourahamane Tiani, 13 novembre 2025</w:t>
      </w:r>
    </w:p>
    <w:p>
      <w:pPr>
        <w:spacing w:before="160" w:after="40"/>
        <w:ind w:left="680"/>
      </w:pPr>
      <w:r>
        <w:rPr>
          <w:i/>
          <w:sz w:val="21"/>
        </w:rPr>
        <w:t>« Restons vigilants. »</w:t>
      </w:r>
    </w:p>
    <w:p>
      <w:pPr>
        <w:spacing w:before="0" w:after="200"/>
        <w:ind w:left="680"/>
      </w:pPr>
      <w:r>
        <w:rPr>
          <w:i/>
          <w:sz w:val="19"/>
        </w:rPr>
        <w:t>— CNSP Niger, communiqué public, RTN, 16 mars 2024 ; Nathalie Yamb, analyse, mars 2024</w:t>
      </w:r>
    </w:p>
    <w:p>
      <w:pPr>
        <w:spacing w:before="160" w:after="40"/>
        <w:ind w:left="680"/>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spacing w:after="80"/>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spacing w:after="80"/>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Pr>
      <w: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spacing w:before="160" w:after="160"/>
      </w:pPr>
      <w:r>
        <w:t>★★★</w:t>
      </w:r>
    </w:p>
    <w:p>
      <w:pPr>
        <w:spacing w:before="0" w:after="200"/>
        <w:ind w:left="680"/>
      </w:pPr>
      <w:r>
        <w:rPr>
          <w:i/>
          <w:sz w:val="19"/>
        </w:rPr>
        <w:t>— Nathalie Yamb, analyste géopolitique, avril 2025</w:t>
      </w:r>
    </w:p>
    <w:p>
      <w:pPr>
        <w:spacing w:before="160" w:after="40"/>
        <w:ind w:left="680"/>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spacing w:after="80"/>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spacing w:after="80"/>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spacing w:before="0" w:after="200"/>
        <w:ind w:left="680"/>
      </w:pPr>
      <w:r>
        <w:rPr>
          <w:i/>
          <w:sz w:val="19"/>
        </w:rPr>
        <w:t>— Albert Anatole Ayissi, Forum Media Africa</w:t>
      </w:r>
    </w:p>
    <w:p>
      <w:pPr>
        <w:spacing w:before="160" w:after="40"/>
        <w:ind w:left="680"/>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spacing w:after="80"/>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Pr>
      <w: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pPr>
      <w:r>
        <w:t>★★★</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40"/>
        <w:ind w:left="680"/>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40"/>
        <w:ind w:left="680"/>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40"/>
        <w:ind w:left="680"/>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40"/>
        <w:ind w:left="680"/>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40"/>
        <w:ind w:left="680"/>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spacing w:before="160" w:after="160"/>
      </w:pPr>
      <w:r>
        <w:t>★★★</w:t>
      </w:r>
    </w:p>
    <w:p>
      <w:pPr>
        <w:spacing w:after="80"/>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spacing w:after="80"/>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spacing w:before="0" w:after="200"/>
        <w:ind w:left="680"/>
      </w:pPr>
      <w:r>
        <w:rPr>
          <w:i/>
          <w:sz w:val="19"/>
        </w:rPr>
        <w:t>— Choguel Kokalla Maïga, Premier ministre du Mali, déclaration publique</w:t>
      </w:r>
    </w:p>
    <w:p>
      <w:pPr>
        <w:spacing w:before="160" w:after="40"/>
        <w:ind w:left="680"/>
      </w:pPr>
      <w:r>
        <w:rPr>
          <w:i/>
          <w:sz w:val="21"/>
        </w:rPr>
        <w:t>« Beaucoup de leurs réseaux ont infiltré la transition aujourd'hui. »</w:t>
      </w:r>
    </w:p>
    <w:p>
      <w:pPr>
        <w:spacing w:after="80"/>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spacing w:before="0" w:after="200"/>
        <w:ind w:left="680"/>
      </w:pPr>
      <w:r>
        <w:rPr>
          <w:i/>
          <w:sz w:val="19"/>
        </w:rPr>
        <w:t>— Nathalie Yamb, analyste géopolitique</w:t>
      </w:r>
    </w:p>
    <w:p>
      <w:pPr>
        <w:spacing w:before="160" w:after="40"/>
        <w:ind w:left="680"/>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after="80"/>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spacing w:after="80"/>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Pr>
      <w: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spacing w:after="80"/>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spacing w:after="80"/>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spacing w:before="160" w:after="40"/>
        <w:ind w:left="680"/>
      </w:pPr>
      <w:r>
        <w:rPr>
          <w:i/>
          <w:sz w:val="21"/>
        </w:rPr>
        <w:t>« Restons vigilants. »</w:t>
      </w:r>
    </w:p>
    <w:p>
      <w:pPr>
        <w:spacing w:before="0" w:after="200"/>
        <w:ind w:left="680"/>
      </w:pPr>
      <w:r>
        <w:rPr>
          <w:i/>
          <w:sz w:val="19"/>
        </w:rPr>
        <w:t>— Général Abdourahamane Tiani, 13 novembre 2025</w:t>
      </w:r>
    </w:p>
    <w:p>
      <w:pPr>
        <w:spacing w:before="160" w:after="40"/>
        <w:ind w:left="680"/>
      </w:pPr>
      <w:r>
        <w:rPr>
          <w:i/>
          <w:sz w:val="21"/>
        </w:rPr>
      </w:r>
    </w:p>
    <w:p>
      <w:pPr>
        <w:spacing w:before="0" w:after="200"/>
        <w:ind w:left="680"/>
      </w:pPr>
      <w:r>
        <w:rPr>
          <w:i/>
          <w:sz w:val="19"/>
        </w:rPr>
      </w:r>
    </w:p>
    <w:p>
      <w:pPr>
        <w:spacing w:before="160" w:after="160"/>
      </w:pPr>
      <w:r>
        <w:t>★★★</w:t>
      </w:r>
    </w:p>
    <w:p>
      <w:pPr>
        <w:spacing w:before="160" w:after="160"/>
      </w:pPr>
      <w:r>
        <w:t>★★★</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