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epuces"/>
      </w:pPr>
      <w:r>
        <w:rPr>
          <w:rFonts w:ascii="FreeSerif" w:hAnsi="FreeSerif"/>
          <w:sz w:val="21"/>
        </w:rPr>
        <w:t>pourquoi des pays à forte croissance ont des taux d'inflation élevés</w:t>
      </w:r>
    </w:p>
    <w:p>
      <w:pPr>
        <w:pStyle w:val="Listepuces"/>
      </w:pPr>
      <w:r>
        <w:rPr>
          <w:rFonts w:ascii="FreeSerif" w:hAnsi="FreeSerif"/>
          <w:sz w:val="21"/>
        </w:rPr>
        <w:t>pourquoi des pays à faible inflation restent pauvres</w:t>
      </w:r>
    </w:p>
    <w:p>
      <w:pPr>
        <w:pStyle w:val="Listepuces"/>
      </w:pPr>
      <w:r>
        <w:rPr>
          <w:rFonts w:ascii="FreeSerif" w:hAnsi="FreeSerif"/>
          <w:sz w:val="21"/>
        </w:rPr>
        <w:t>pourquoi des pays à niveaux d'inflation similaires ont des trajectoires économiques radicalement différentes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epuces"/>
      </w:pPr>
      <w:r>
        <w:rPr>
          <w:rFonts w:ascii="FreeSerif" w:hAnsi="FreeSerif"/>
          <w:sz w:val="21"/>
        </w:rPr>
        <w:t>**Corée du Sud (1960–1990)** : taux de croissance du PIB réel par habitant de 7,6 % — doublement tous les 9 ans — avec une inflation moyenne de **12 %** et des pics à **30 %**.</w:t>
      </w:r>
    </w:p>
    <w:p>
      <w:pPr>
        <w:pStyle w:val="Listepuces"/>
      </w:pPr>
      <w:r>
        <w:rPr>
          <w:rFonts w:ascii="FreeSerif" w:hAnsi="FreeSerif"/>
          <w:sz w:val="21"/>
        </w:rPr>
        <w:t>**Bénin** : pays CFA ayant le taux d'inflation le plus faible (1,4 % en moyenne annuelle, 2010–2022). Résultat : croissance économique **catastrophique**, quasi-stagnation.</w:t>
      </w:r>
    </w:p>
    <w:p>
      <w:pPr>
        <w:pStyle w:val="Listepuces"/>
      </w:pPr>
      <w:r>
        <w:rPr>
          <w:rFonts w:ascii="FreeSerif" w:hAnsi="FreeSerif"/>
          <w:sz w:val="21"/>
        </w:rPr>
        <w:t>**Sénégal** : taux d'inflation similaire à celui de la **Chine** sur 1996–2022 — mais sans la croissance chinoise.</w:t>
      </w:r>
    </w:p>
    <w:p>
      <w:pPr>
        <w:pStyle w:val="Listepuces"/>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p>
      <w:pPr>
        <w:spacing w:after="80"/>
      </w:pPr>
      <w:r>
        <w:rPr>
          <w:rFonts w:ascii="FreeSerif" w:hAnsi="FreeSerif"/>
          <w:sz w:val="22"/>
        </w:rPr>
        <w:t>| Pays | Meilleur niveau de PIB/hab. | Niveau en 2020–2022 | Évolution |</w:t>
      </w:r>
    </w:p>
    <w:p>
      <w:pPr>
        <w:spacing w:after="80"/>
      </w:pPr>
      <w:r>
        <w:rPr>
          <w:rFonts w:ascii="FreeSerif" w:hAnsi="FreeSerif"/>
          <w:sz w:val="22"/>
        </w:rPr>
        <w:t>|---|---|---|---|</w:t>
      </w:r>
    </w:p>
    <w:p>
      <w:pPr>
        <w:spacing w:after="80"/>
      </w:pPr>
      <w:r>
        <w:rPr>
          <w:rFonts w:ascii="FreeSerif" w:hAnsi="FreeSerif"/>
          <w:sz w:val="22"/>
        </w:rPr>
        <w:t>| Côte d'Ivoire | 2 868 $ (1978) | 2 055 $ | −28 % |</w:t>
      </w:r>
    </w:p>
    <w:p>
      <w:pPr>
        <w:spacing w:after="80"/>
      </w:pPr>
      <w:r>
        <w:rPr>
          <w:rFonts w:ascii="FreeSerif" w:hAnsi="FreeSerif"/>
          <w:sz w:val="22"/>
        </w:rPr>
        <w:t>| Guinée équatoriale | supérieur à l'Espagne (années 2000) | −58 % | −58 % |</w:t>
      </w:r>
    </w:p>
    <w:p>
      <w:pPr>
        <w:spacing w:after="80"/>
      </w:pPr>
      <w:r>
        <w:rPr>
          <w:rFonts w:ascii="FreeSerif" w:hAnsi="FreeSerif"/>
          <w:sz w:val="22"/>
        </w:rPr>
        <w:t>| République du Congo | 6 534 $ (1976) | ~2 700 $ | −56 % |</w:t>
      </w:r>
    </w:p>
    <w:p>
      <w:pPr>
        <w:spacing w:after="80"/>
      </w:pPr>
      <w:r>
        <w:rPr>
          <w:rFonts w:ascii="FreeSerif" w:hAnsi="FreeSerif"/>
          <w:sz w:val="22"/>
        </w:rPr>
        <w:t>| Gabon | pic en 1976 | recul majeur | −56 % |</w:t>
      </w:r>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epuces"/>
      </w:pPr>
      <w:r>
        <w:rPr>
          <w:rFonts w:ascii="FreeSerif" w:hAnsi="FreeSerif"/>
          <w:sz w:val="21"/>
        </w:rPr>
        <w:t>En 2022, après le second coup d'État au Mali, Assimi Goïta **n'avait pas accès aux comptes de l'État malien** auprès de la BCEAO et du système financier domestique.</w:t>
      </w:r>
    </w:p>
    <w:p>
      <w:pPr>
        <w:pStyle w:val="Listepuces"/>
      </w:pPr>
      <w:r>
        <w:rPr>
          <w:rFonts w:ascii="FreeSerif" w:hAnsi="FreeSerif"/>
          <w:sz w:val="21"/>
        </w:rPr>
        <w:t>En juillet 2023, la même mesure a été appliquée au Niger. Le gouvernement nigérien a répondu en **emprisonnant le directeur national de la BCEAO**.</w:t>
      </w:r>
    </w:p>
    <w:p>
      <w:pPr>
        <w:pStyle w:val="Listepuces"/>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Selon le témoignage de l'un d'entre eux, un plan de propagande avait été mis en place en amont de l'opération.</w:t>
      </w:r>
    </w:p>
    <w:p>
      <w:pPr>
        <w:spacing w:after="80"/>
      </w:pPr>
      <w:r>
        <w:rPr>
          <w:rFonts w:ascii="FreeSerif" w:hAnsi="FreeSerif"/>
          <w:sz w:val="22"/>
        </w:rP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Le schéma révélé ici comporte plusieurs éléments caractéristiques :</w:t>
      </w:r>
    </w:p>
    <w:p>
      <w:pPr>
        <w:pStyle w:val="Listepuces"/>
      </w:pPr>
      <w:r>
        <w:rPr>
          <w:rFonts w:ascii="FreeSerif" w:hAnsi="FreeSerif"/>
          <w:sz w:val="21"/>
        </w:rPr>
        <w:t>**Pré-positionnement d'un relais médiatique** : le contact est établi avant l'attaque, pas après. La diffusion est planifiée comme partie intégrante de l'opération.</w:t>
      </w:r>
    </w:p>
    <w:p>
      <w:pPr>
        <w:pStyle w:val="Listepuces"/>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w:t>
      </w:r>
    </w:p>
    <w:p>
      <w:pPr>
        <w:pStyle w:val="Listepuces"/>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epuces"/>
      </w:pPr>
      <w:r>
        <w:rPr>
          <w:rFonts w:ascii="FreeSerif" w:hAnsi="FreeSerif"/>
          <w:sz w:val="21"/>
        </w:rPr>
        <w:t>**Immédiateté recherchée** : les « premières images » constituent l'objectif — la vitesse de diffusion prime sur tout autre considération.</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rPr>
          <w:rFonts w:ascii="FreeSerif" w:hAnsi="FreeSerif"/>
          <w:sz w:val="21"/>
        </w:rPr>
        <w:t>Point de contrôle de la souveraineté territoriale</w:t>
      </w:r>
    </w:p>
    <w:p>
      <w:pPr>
        <w:pStyle w:val="Listepuces"/>
      </w:pPr>
      <w:r>
        <w:rPr>
          <w:rFonts w:ascii="FreeSerif" w:hAnsi="FreeSerif"/>
          <w:sz w:val="21"/>
        </w:rPr>
        <w:t>Symbole de la capacité de l'État à assurer sa propre sécurité</w:t>
      </w:r>
    </w:p>
    <w:p>
      <w:pPr>
        <w:pStyle w:val="Listepuces"/>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mais aussi communicationnel : déstabiliser la perception de la légitimité et de l'efficacité des nouvelles autorités nigériennes.</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w:t>
      </w:r>
    </w:p>
    <w:p>
      <w:pPr>
        <w:pStyle w:val="Listepuces"/>
      </w:pPr>
      <w:r>
        <w:rPr>
          <w:rFonts w:ascii="FreeSerif" w:hAnsi="FreeSerif"/>
          <w:sz w:val="21"/>
        </w:rPr>
        <w:t>**La désinformation offensive** — diffusion rapide d'images et de récits favorables aux groupes armés</w:t>
      </w:r>
    </w:p>
    <w:p>
      <w:pPr>
        <w:pStyle w:val="Listepuces"/>
      </w:pPr>
      <w:r>
        <w:rPr>
          <w:rFonts w:ascii="FreeSerif" w:hAnsi="FreeSerif"/>
          <w:sz w:val="21"/>
        </w:rPr>
        <w:t>**La contre-narrative des autorités** — communiqués officiels, bilans sécuritaires, arrestations médiatisées</w:t>
      </w:r>
    </w:p>
    <w:p>
      <w:pPr>
        <w:pStyle w:val="Listepuces"/>
      </w:pPr>
      <w:r>
        <w:rPr>
          <w:rFonts w:ascii="FreeSerif" w:hAnsi="FreeSerif"/>
          <w:sz w:val="21"/>
        </w:rPr>
        <w:t>**Les réseaux diasporiques** — amplification via des pages et comptes basés hors du Sahel</w:t>
      </w:r>
    </w:p>
    <w:p>
      <w:pPr>
        <w:pStyle w:val="Listepuces"/>
      </w:pPr>
      <w:r>
        <w:rPr>
          <w:rFonts w:ascii="FreeSerif" w:hAnsi="FreeSerif"/>
          <w:sz w:val="21"/>
        </w:rPr>
        <w:t>**La instrumentalisation des médias** — utilisation de journalistes ou de pages à forte audience comme relais</w:t>
      </w:r>
    </w:p>
    <w:p>
      <w:pPr>
        <w:spacing w:after="80"/>
      </w:pPr>
      <w:r>
        <w:rPr>
          <w:rFonts w:ascii="FreeSerif" w:hAnsi="FreeSerif"/>
          <w:sz w:val="22"/>
        </w:rPr>
        <w:t>Le cas Yacouba Doumbia, s'il est avéré, représente un exemple concret de la catégorie (3) et (4) combinées : un journaliste étranger, disposant d'une audience propre, intégré dans un dispositif de propagande pré-planifié.</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en particulier depuis les transitions de 2020–2023 et les opérations menées en 2025–2026.</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epuces"/>
      </w:pPr>
      <w:r>
        <w:rPr>
          <w:rFonts w:ascii="FreeSerif" w:hAnsi="FreeSerif"/>
          <w:sz w:val="21"/>
        </w:rPr>
        <w:t>**Une crise réelle** qui justifie moralement et médiatiquement l'intervention — dans le cas kenyan, c'est Ébola.</w:t>
      </w:r>
    </w:p>
    <w:p>
      <w:pPr>
        <w:pStyle w:val="Listepuces"/>
      </w:pPr>
      <w:r>
        <w:rPr>
          <w:rFonts w:ascii="FreeSerif" w:hAnsi="FreeSerif"/>
          <w:sz w:val="21"/>
        </w:rPr>
        <w:t>**Une infrastructure construite par l'armée américaine** présentée comme temporaire — ici, le site de quarantaine à Laikipia.</w:t>
      </w:r>
    </w:p>
    <w:p>
      <w:pPr>
        <w:pStyle w:val="Listepuces"/>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epuces"/>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epuces"/>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reconnaît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Mais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Mais si cela était vraiment le cas, comment la France — siège de l'organisation — ne figure-t-elle pas sur la liste des pays sous surveillance ?</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Et pourtant, 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epuces"/>
      </w:pPr>
      <w:r>
        <w:rPr>
          <w:rFonts w:ascii="FreeSerif" w:hAnsi="FreeSerif"/>
          <w:sz w:val="21"/>
        </w:rPr>
        <w:t>**1944** — Banque mondiale et FMI (accords de Bretton Woods)</w:t>
      </w:r>
    </w:p>
    <w:p>
      <w:pPr>
        <w:pStyle w:val="Listepuces"/>
      </w:pPr>
      <w:r>
        <w:rPr>
          <w:rFonts w:ascii="FreeSerif" w:hAnsi="FreeSerif"/>
          <w:sz w:val="21"/>
        </w:rPr>
        <w:t>**1945** — ONU</w:t>
      </w:r>
    </w:p>
    <w:p>
      <w:pPr>
        <w:pStyle w:val="Listepuces"/>
      </w:pPr>
      <w:r>
        <w:rPr>
          <w:rFonts w:ascii="FreeSerif" w:hAnsi="FreeSerif"/>
          <w:sz w:val="21"/>
        </w:rPr>
        <w:t>**1949** — Organisation mondiale de la Santé</w:t>
      </w:r>
    </w:p>
    <w:p>
      <w:pPr>
        <w:pStyle w:val="Listepuces"/>
      </w:pPr>
      <w:r>
        <w:rPr>
          <w:rFonts w:ascii="FreeSerif" w:hAnsi="FreeSerif"/>
          <w:sz w:val="21"/>
        </w:rPr>
        <w:t>**1989** — GAFI</w:t>
      </w:r>
    </w:p>
    <w:p>
      <w:pPr>
        <w:pStyle w:val="Listepuces"/>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epuces"/>
      </w:pPr>
      <w:r>
        <w:rPr>
          <w:rFonts w:ascii="FreeSerif" w:hAnsi="FreeSerif"/>
          <w:sz w:val="21"/>
        </w:rPr>
        <w:t>Pourquoi ils se rendent à l'étranger</w:t>
      </w:r>
    </w:p>
    <w:p>
      <w:pPr>
        <w:pStyle w:val="Listepuces"/>
      </w:pPr>
      <w:r>
        <w:rPr>
          <w:rFonts w:ascii="FreeSerif" w:hAnsi="FreeSerif"/>
          <w:sz w:val="21"/>
        </w:rPr>
        <w:t>Ce qu'ils vont y discuter ou y signer</w:t>
      </w:r>
    </w:p>
    <w:p>
      <w:pPr>
        <w:pStyle w:val="Listepuces"/>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epuces"/>
      </w:pPr>
      <w:r>
        <w:rPr>
          <w:rFonts w:ascii="FreeSerif" w:hAnsi="FreeSerif"/>
          <w:sz w:val="21"/>
        </w:rPr>
        <w:t>**Cartes de crédit** : annulées</w:t>
      </w:r>
    </w:p>
    <w:p>
      <w:pPr>
        <w:pStyle w:val="Listepuces"/>
      </w:pPr>
      <w:r>
        <w:rPr>
          <w:rFonts w:ascii="FreeSerif" w:hAnsi="FreeSerif"/>
          <w:sz w:val="21"/>
        </w:rPr>
        <w:t>**Comptes bancaires suisses** : gelés puis fermés</w:t>
      </w:r>
    </w:p>
    <w:p>
      <w:pPr>
        <w:pStyle w:val="Listepuces"/>
      </w:pPr>
      <w:r>
        <w:rPr>
          <w:rFonts w:ascii="FreeSerif" w:hAnsi="FreeSerif"/>
          <w:sz w:val="21"/>
        </w:rPr>
        <w:t>**Comptes crypto** : clôturés</w:t>
      </w:r>
    </w:p>
    <w:p>
      <w:pPr>
        <w:pStyle w:val="Listepuces"/>
      </w:pPr>
      <w:r>
        <w:rPr>
          <w:rFonts w:ascii="FreeSerif" w:hAnsi="FreeSerif"/>
          <w:sz w:val="21"/>
        </w:rPr>
        <w:t>**YouTube** : chaîne démonétisée (Google paie depuis l'Irlande, membre de l'UE)</w:t>
      </w:r>
    </w:p>
    <w:p>
      <w:pPr>
        <w:pStyle w:val="Listepuces"/>
      </w:pPr>
      <w:r>
        <w:rPr>
          <w:rFonts w:ascii="FreeSerif" w:hAnsi="FreeSerif"/>
          <w:sz w:val="21"/>
        </w:rPr>
        <w:t>**Airbnb, Amazon, Google** : accès coupé</w:t>
      </w:r>
    </w:p>
    <w:p>
      <w:pPr>
        <w:pStyle w:val="Listepuces"/>
      </w:pPr>
      <w:r>
        <w:rPr>
          <w:rFonts w:ascii="FreeSerif" w:hAnsi="FreeSerif"/>
          <w:sz w:val="21"/>
        </w:rPr>
        <w:t>**Netflix** : coupé</w:t>
      </w:r>
    </w:p>
    <w:p>
      <w:pPr>
        <w:pStyle w:val="Listepuces"/>
      </w:pPr>
      <w:r>
        <w:rPr>
          <w:rFonts w:ascii="FreeSerif" w:hAnsi="FreeSerif"/>
          <w:sz w:val="21"/>
        </w:rPr>
        <w:t>**Compagnies aériennes** : risque de refus d'embarquement</w:t>
      </w:r>
    </w:p>
    <w:p>
      <w:pPr>
        <w:pStyle w:val="Listepuces"/>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Et pourtant :</w:t>
      </w:r>
    </w:p>
    <w:p>
      <w:pPr>
        <w:pStyle w:val="Listepuces"/>
      </w:pPr>
      <w:r>
        <w:rPr>
          <w:rFonts w:ascii="FreeSerif" w:hAnsi="FreeSerif"/>
          <w:sz w:val="21"/>
        </w:rPr>
        <w:t>Des banques suisses ont fermé ses comptes</w:t>
      </w:r>
    </w:p>
    <w:p>
      <w:pPr>
        <w:pStyle w:val="Listepuces"/>
      </w:pPr>
      <w:r>
        <w:rPr>
          <w:rFonts w:ascii="FreeSerif" w:hAnsi="FreeSerif"/>
          <w:sz w:val="21"/>
        </w:rPr>
        <w:t>Post Finance a désactivé Twint et sa carte de crédit</w:t>
      </w:r>
    </w:p>
    <w:p>
      <w:pPr>
        <w:pStyle w:val="Listepuces"/>
      </w:pPr>
      <w:r>
        <w:rPr>
          <w:rFonts w:ascii="FreeSerif" w:hAnsi="FreeSerif"/>
          <w:sz w:val="21"/>
        </w:rPr>
        <w:t>UBS — banque de son propriétaire — refuse ses virements de loyer depuis un compte Post Finance</w:t>
      </w:r>
    </w:p>
    <w:p>
      <w:pPr>
        <w:pStyle w:val="Listepuces"/>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Autrement dit : l'État suisse confirme l'illégalité, refuse d'intervenir, et renvoie la citoyenne sanctionnée vers des procédures coûteuses — dont l'argent est précisément gelé.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epuces"/>
      </w:pPr>
      <w:r>
        <w:rPr>
          <w:rFonts w:ascii="FreeSerif" w:hAnsi="FreeSerif"/>
          <w:sz w:val="21"/>
        </w:rPr>
        <w:t>Elle ne peut pas assister à la naissance de son petit-enfant</w:t>
      </w:r>
    </w:p>
    <w:p>
      <w:pPr>
        <w:pStyle w:val="Listepuces"/>
      </w:pPr>
      <w:r>
        <w:rPr>
          <w:rFonts w:ascii="FreeSerif" w:hAnsi="FreeSerif"/>
          <w:sz w:val="21"/>
        </w:rPr>
        <w:t>Elle ne pourra pas être présente pour les 80 ans de sa mère l'année prochaine</w:t>
      </w:r>
    </w:p>
    <w:p>
      <w:pPr>
        <w:pStyle w:val="Listepuces"/>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epuces"/>
      </w:pPr>
      <w:r>
        <w:rPr>
          <w:rFonts w:ascii="FreeSerif" w:hAnsi="FreeSerif"/>
          <w:sz w:val="21"/>
        </w:rPr>
        <w:t>**Compte bancaire hors UE** — Asie, monde arabe, Afrique : obtenir impérativement un compte dans une région qui n'applique pas systématiquement les sanctions européennes.</w:t>
      </w:r>
    </w:p>
    <w:p>
      <w:pPr>
        <w:pStyle w:val="Listepuces"/>
      </w:pPr>
      <w:r>
        <w:rPr>
          <w:rFonts w:ascii="FreeSerif" w:hAnsi="FreeSerif"/>
          <w:sz w:val="21"/>
        </w:rPr>
        <w:t>**Carte Union Pay** — alternative chinoise aux systèmes Visa/Mastercard contrôlés par l'espace financier occidental.</w:t>
      </w:r>
    </w:p>
    <w:p>
      <w:pPr>
        <w:pStyle w:val="Listepuces"/>
      </w:pPr>
      <w:r>
        <w:rPr>
          <w:rFonts w:ascii="FreeSerif" w:hAnsi="FreeSerif"/>
          <w:sz w:val="21"/>
        </w:rPr>
        <w:t>**Crypto en portefeuille externe** — quitter les plateformes centralisées (Binance et équivalents) pour des wallets physiques (Ledger, Trezor).</w:t>
      </w:r>
    </w:p>
    <w:p>
      <w:pPr>
        <w:pStyle w:val="Listepuces"/>
      </w:pPr>
      <w:r>
        <w:rPr>
          <w:rFonts w:ascii="FreeSerif" w:hAnsi="FreeSerif"/>
          <w:sz w:val="21"/>
        </w:rPr>
        <w:t>**Sauvegarder les contenus** sur des plateformes hors UE (Rumble et autres alternatives).</w:t>
      </w:r>
    </w:p>
    <w:p>
      <w:pPr>
        <w:pStyle w:val="Listepuces"/>
      </w:pPr>
      <w:r>
        <w:rPr>
          <w:rFonts w:ascii="FreeSerif" w:hAnsi="FreeSerif"/>
          <w:sz w:val="21"/>
        </w:rPr>
        <w:t>**Diversifier les éditeurs et partenaires commerciaux** hors de l'espace soumis aux sanctions européennes.</w:t>
      </w:r>
    </w:p>
    <w:p>
      <w:pPr>
        <w:pStyle w:val="Listepuces"/>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epuces"/>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epuces"/>
      </w:pPr>
      <w:r>
        <w:rPr>
          <w:rFonts w:ascii="FreeSerif" w:hAnsi="FreeSerif"/>
          <w:sz w:val="21"/>
        </w:rPr>
        <w:t>**Paul Michel Manand** — ressortissant belge, prétend travailler en Ukraine avec des connexions dans les services de sécurité.</w:t>
      </w:r>
    </w:p>
    <w:p>
      <w:pPr>
        <w:pStyle w:val="Listepuces"/>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Mais le fond de l'affaire reste entier.</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spacing w:after="80"/>
      </w:pPr>
      <w:r>
        <w:rPr>
          <w:rFonts w:ascii="FreeSerif" w:hAnsi="FreeSerif"/>
          <w:sz w:val="22"/>
        </w:rPr>
        <w:t>Si cette séquence avait visé un gouvernement européen, les mots seraient : complot, ingérence, acte hostile, casus belli. Ici, certains l'appellent géopolitique africaine. C'est pourtant la même chose.</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epuces"/>
      </w:pPr>
      <w:r>
        <w:rPr>
          <w:rFonts w:ascii="FreeSerif" w:hAnsi="FreeSerif"/>
          <w:sz w:val="21"/>
        </w:rPr>
        <w:t>**2 000** intégrés dans les Forces armées maliennes comme soldats de 2e classe, avec solde et formation.</w:t>
      </w:r>
    </w:p>
    <w:p>
      <w:pPr>
        <w:pStyle w:val="Listepuces"/>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spacing w:after="80"/>
      </w:pPr>
      <w:r>
        <w:rPr>
          <w:rFonts w:ascii="FreeSerif" w:hAnsi="FreeSerif"/>
          <w:sz w:val="22"/>
        </w:rPr>
        <w:t>La deuxième est militaire : les opérations des FAMAS et des forces partenaires les bombardent sans relâche. La fatigue du combat et les pertes en hommes pèsent.</w:t>
      </w:r>
    </w:p>
    <w:p>
      <w:pPr>
        <w:spacing w:after="80"/>
      </w:pPr>
      <w:r>
        <w:rPr>
          <w:rFonts w:ascii="FreeSerif" w:hAnsi="FreeSerif"/>
          <w:sz w:val="22"/>
        </w:rPr>
        <w:t>La troisième est matérielle : le programme DDR offre ce qu'on aurait dû leur offrir depuis le début — une solde régulière, une formation, une perspective.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Il s'agit d'une mesure administrative, pas d'une condamnation judiciaire. Mais le signal est clair : Bamako cible désormais les réseaux de soutien civil aux groupes armés. La guerre financière a commencé.</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w:t>
      </w:r>
    </w:p>
    <w:p>
      <w:pPr>
        <w:pStyle w:val="Listepuces"/>
      </w:pPr>
      <w:r>
        <w:rPr>
          <w:rFonts w:ascii="FreeSerif" w:hAnsi="FreeSerif"/>
          <w:sz w:val="21"/>
        </w:rPr>
        <w:t>**À l'UE** : vos tribunes ne sont pas au-dessus du droit international. Les discours de vos parlementaires sur nos pays ont des effets réels et nous les traitons comme tels.</w:t>
      </w:r>
    </w:p>
    <w:p>
      <w:pPr>
        <w:pStyle w:val="Listepuces"/>
      </w:pPr>
      <w:r>
        <w:rPr>
          <w:rFonts w:ascii="FreeSerif" w:hAnsi="FreeSerif"/>
          <w:sz w:val="21"/>
        </w:rPr>
        <w:t>**À l'AES** : la solidarité des trois pays n'est pas rhétorique. Ce qui touche l'un est assumé par les trois dans les enceintes diplomatiques.</w:t>
      </w:r>
    </w:p>
    <w:p>
      <w:pPr>
        <w:pStyle w:val="Listepuces"/>
      </w:pPr>
      <w:r>
        <w:rPr>
          <w:rFonts w:ascii="FreeSerif" w:hAnsi="FreeSerif"/>
          <w:sz w:val="21"/>
        </w:rPr>
        <w:t>**À l'Afrique** : la convocation d'ambassadeur est un outil. Il faut l'utiliser. Il faut cesser de subir en silence.</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Premièrement, il faut être sacrément culotté pour aller inaugurer à Bangui un bâtiment d'aide aux victimes de violences sexuelles quand des soldats français ont été accusés de viol sur des enfants centrafricains au milieu des années 2010.</w:t>
      </w:r>
    </w:p>
    <w:p>
      <w:pPr>
        <w:spacing w:after="80"/>
      </w:pPr>
      <w:r>
        <w:rPr>
          <w:rFonts w:ascii="FreeSerif" w:hAnsi="FreeSerif"/>
          <w:sz w:val="22"/>
        </w:rPr>
        <w:t>Deuxièmement, l'entreprise française Orano refuse de lâcher ses permis miniers sur la mine d'uranium de Bakouma à l'est du pays — permis à l'abandon depuis près de quinze ans, pendant que le gouvernement centrafricain attend de pouvoir les redistribuer.</w:t>
      </w:r>
    </w:p>
    <w:p>
      <w:pPr>
        <w:spacing w:after="80"/>
      </w:pPr>
      <w:r>
        <w:rPr>
          <w:rFonts w:ascii="FreeSerif" w:hAnsi="FreeSerif"/>
          <w:sz w:val="22"/>
        </w:rPr>
        <w:t>Troisièmement, Sylvie Baipo Temon, ministre des Affaires étrangères centrafricaine, a planté son homologue lors du dîner officiel.</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mais divisée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des ex-Wagner en Centrafrique.</w:t>
      </w:r>
    </w:p>
    <w:p>
      <w:pPr>
        <w:spacing w:after="80"/>
      </w:pPr>
      <w:r>
        <w:rPr>
          <w:rFonts w:ascii="FreeSerif" w:hAnsi="FreeSerif"/>
          <w:sz w:val="22"/>
        </w:rPr>
        <w:t>De l'autre, la Russie officielle — l'ambassade de Moscou à Bangui et le groupe paramilitaire Africa Corps, directement rattaché à Vladimir Poutine, qui veut remplacer Wagner en Centrafrique.</w:t>
      </w:r>
    </w:p>
    <w:p>
      <w:pPr>
        <w:spacing w:after="80"/>
      </w:pPr>
      <w:r>
        <w:rPr>
          <w:rFonts w:ascii="FreeSerif" w:hAnsi="FreeSerif"/>
          <w:sz w:val="22"/>
        </w:rPr>
        <w:t>Touadéra ne veut pas lâcher ses compagnons de route de la première heure. Africa Corps veut les supplanter. L'affrontement entre les deux factions est réel, à couteaux tirés. À Paris, on observe cela avec intérêt.</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compréhension de la crise centrafricaine qui vient se trouve au Soudan voisin.</w:t>
      </w:r>
    </w:p>
    <w:p>
      <w:pPr>
        <w:spacing w:after="80"/>
      </w:pPr>
      <w:r>
        <w:rPr>
          <w:rFonts w:ascii="FreeSerif" w:hAnsi="FreeSerif"/>
          <w:sz w:val="22"/>
        </w:rPr>
        <w:t>Depuis mars 2023, deux généraux s'y affrontent :</w:t>
      </w:r>
    </w:p>
    <w:p>
      <w:pPr>
        <w:pStyle w:val="Listepuces"/>
      </w:pPr>
      <w:r>
        <w:rPr>
          <w:rFonts w:ascii="FreeSerif" w:hAnsi="FreeSerif"/>
          <w:sz w:val="21"/>
        </w:rPr>
        <w:t>**Le général Abdel Fattah al-Bourhane** — à la tête de l'armée régulière, contrôle le nord et Port-Soudan</w:t>
      </w:r>
    </w:p>
    <w:p>
      <w:pPr>
        <w:pStyle w:val="Listepuces"/>
      </w:pPr>
      <w:r>
        <w:rPr>
          <w:rFonts w:ascii="FreeSerif" w:hAnsi="FreeSerif"/>
          <w:sz w:val="21"/>
        </w:rPr>
        <w:t>**Le général Hemedti** — à la tête des Forces de Soutien Rapide (FSR), héritières des milices Janjawid, basé au Darfour</w:t>
      </w:r>
    </w:p>
    <w:p>
      <w:pPr>
        <w:spacing w:after="80"/>
      </w:pPr>
      <w:r>
        <w:rPr>
          <w:rFonts w:ascii="FreeSerif" w:hAnsi="FreeSerif"/>
          <w:sz w:val="22"/>
        </w:rP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spacing w:after="80"/>
      </w:pPr>
      <w:r>
        <w:rPr>
          <w:rFonts w:ascii="FreeSerif" w:hAnsi="FreeSerif"/>
          <w:sz w:val="22"/>
        </w:rPr>
        <w:t>Or Hemedti est en train de perdre la guerre. Bourhan reconquiert le Darfour. Et lorsqu'il en aura fini avec son ennemi, il pourrait chercher à se venger de cette Centrafrique voisine qui a joué contre lui.</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homme : Nouredine Adam.</w:t>
      </w:r>
    </w:p>
    <w:p>
      <w:pPr>
        <w:spacing w:after="80"/>
      </w:pPr>
      <w:r>
        <w:rPr>
          <w:rFonts w:ascii="FreeSerif" w:hAnsi="FreeSerif"/>
          <w:sz w:val="22"/>
        </w:rP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spacing w:after="80"/>
      </w:pPr>
      <w:r>
        <w:rPr>
          <w:rFonts w:ascii="FreeSerif" w:hAnsi="FreeSerif"/>
          <w:sz w:val="22"/>
        </w:rPr>
        <w:t>Malgré le mandat d'arrêt de la Cour pénale internationale émis contre lui pour crimes contre l'humanité, il est aujourd'hui financé et armé par deux présidents simultanément : Bourhan (Soudan) et Mahamat Déby (Tchad).</w:t>
      </w:r>
    </w:p>
    <w:p>
      <w:pPr>
        <w:spacing w:after="80"/>
      </w:pPr>
      <w:r>
        <w:rPr>
          <w:rFonts w:ascii="FreeSerif" w:hAnsi="FreeSerif"/>
          <w:sz w:val="22"/>
        </w:rPr>
        <w:t>Et 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différentes pièces s'assemblent en une offensive convergente :</w:t>
      </w:r>
    </w:p>
    <w:p>
      <w:pPr>
        <w:pStyle w:val="Listepuces"/>
      </w:pPr>
      <w:r>
        <w:rPr>
          <w:rFonts w:ascii="FreeSerif" w:hAnsi="FreeSerif"/>
          <w:sz w:val="21"/>
        </w:rPr>
        <w:t>**Au nord** : les combattants de Nouredine Adam, à majorité musulmane, déboulant depuis leurs bases arrière du Tchad et du Soudan</w:t>
      </w:r>
    </w:p>
    <w:p>
      <w:pPr>
        <w:pStyle w:val="Listepuces"/>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 chasser les Russes et renverser Touadéra.</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w:t>
      </w:r>
    </w:p>
    <w:p>
      <w:pPr>
        <w:spacing w:after="80"/>
      </w:pPr>
      <w:r>
        <w:rPr>
          <w:rFonts w:ascii="FreeSerif" w:hAnsi="FreeSerif"/>
          <w:sz w:val="22"/>
        </w:rPr>
        <w:t>Mais rien, absolument rien, ne justifie de replonger la République centrafricaine dans la haine et dans une guerre innommable.</w:t>
      </w:r>
    </w:p>
    <w:p>
      <w:pPr>
        <w:spacing w:after="80"/>
      </w:pPr>
      <w:r>
        <w:rPr>
          <w:rFonts w:ascii="FreeSerif" w:hAnsi="FreeSerif"/>
          <w:sz w:val="22"/>
        </w:rPr>
        <w:t>C'est aussi ça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n'est pas crédible.</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Mais son passé au Mali ne plaide pas en sa faveur.</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spacing w:after="80"/>
      </w:pPr>
      <w:r>
        <w:rPr>
          <w:rFonts w:ascii="FreeSerif" w:hAnsi="FreeSerif"/>
          <w:sz w:val="22"/>
        </w:rPr>
        <w:t>Peut-être que certains à Paris ne seraient pas mécontents de voir le drapeau noir des islamistes flotter sur Bamako.</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spacing w:after="80"/>
      </w:pPr>
      <w:r>
        <w:rPr>
          <w:rFonts w:ascii="FreeSerif" w:hAnsi="FreeSerif"/>
          <w:sz w:val="22"/>
        </w:rPr>
        <w:t>Deuxième observation : ce schéma a déjà été utilisé. Deux fois, de manière documentée.</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souligné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Il prépare quelque chose.</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spacing w:after="80"/>
      </w:pPr>
      <w:r>
        <w:rPr>
          <w:rFonts w:ascii="FreeSerif" w:hAnsi="FreeSerif"/>
          <w:sz w:val="22"/>
        </w:rPr>
        <w:t>La guerre de l'information a changé de terrain.</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w:t>
      </w:r>
    </w:p>
    <w:p>
      <w:pPr>
        <w:spacing w:after="80"/>
      </w:pPr>
      <w:r>
        <w:rPr>
          <w:rFonts w:ascii="FreeSerif" w:hAnsi="FreeSerif"/>
          <w:sz w:val="22"/>
        </w:rPr>
        <w:t>Il omet enfin que le capitaine Traoré bénéficie d'un soutien populaire documenté — ce qui n'est pas le marqueur habituel d'une junte dont le peuple serait la victime.</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Raineteau : Le Barbouze Condamné qui Annonce un Coup d'État</w:t>
      </w:r>
    </w:p>
    <w:p>
      <w:pPr>
        <w:spacing w:after="80"/>
      </w:pPr>
      <w:r>
        <w:rPr>
          <w:rFonts w:ascii="FreeSerif" w:hAnsi="FreeSerif"/>
          <w:sz w:val="22"/>
        </w:rPr>
        <w:t>Source : Erick Ngaba — Ndjoni Sango, Bangui, 14 novembre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before="200" w:after="60"/>
        <w:pBdr>
          <w:bottom w:val="single" w:sz="7" w:space="3" w:color="A07820"/>
        </w:pBdr>
      </w:pPr>
      <w:r>
        <w:rPr>
          <w:rFonts w:ascii="FreeSerif" w:hAnsi="FreeSerif"/>
          <w:b/>
          <w:color w:val="2C3A4A"/>
          <w:sz w:val="23"/>
        </w:rPr>
        <w:t>La déclaration</w:t>
      </w:r>
    </w:p>
    <w:p>
      <w:pPr>
        <w:spacing w:after="80"/>
      </w:pPr>
      <w:r>
        <w:rPr>
          <w:rFonts w:ascii="FreeSerif" w:hAnsi="FreeSerif"/>
          <w:sz w:val="22"/>
        </w:rPr>
        <w:t>Le week-end précédant le 14 novembre 2022, lors d'une conférence au Centre d'Échanges et de Réflexion pour l'Avenir (CERA) en France, un homme prend la parole et annonce publiquement un coup d'État à venir en République centrafricaine.</w:t>
      </w:r>
    </w:p>
    <w:p>
      <w:pPr>
        <w:spacing w:after="80"/>
      </w:pPr>
      <w:r>
        <w:rPr>
          <w:rFonts w:ascii="FreeSerif" w:hAnsi="FreeSerif"/>
          <w:sz w:val="22"/>
        </w:rPr>
        <w:t>Son nom : Christophe Raineteau.</w:t>
      </w:r>
    </w:p>
    <w:p>
      <w:pPr>
        <w:spacing w:after="80"/>
      </w:pPr>
      <w:r>
        <w:rPr>
          <w:rFonts w:ascii="FreeSerif" w:hAnsi="FreeSerif"/>
          <w:sz w:val="22"/>
        </w:rPr>
        <w:t>Ses mots exacts, cités par le journal centrafricain Centrafrica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 n'est pas une prédiction. C'est une déclaration d'intention.</w:t>
      </w:r>
    </w:p>
    <w:p>
      <w:pPr>
        <w:spacing w:before="200" w:after="60"/>
        <w:pBdr>
          <w:bottom w:val="single" w:sz="7" w:space="3" w:color="A07820"/>
        </w:pBdr>
      </w:pPr>
      <w:r>
        <w:rPr>
          <w:rFonts w:ascii="FreeSerif" w:hAnsi="FreeSerif"/>
          <w:b/>
          <w:color w:val="2C3A4A"/>
          <w:sz w:val="23"/>
        </w:rPr>
        <w:t>Qui est Christophe Raineteau</w:t>
      </w:r>
    </w:p>
    <w:p>
      <w:pPr>
        <w:spacing w:after="80"/>
      </w:pPr>
      <w:r>
        <w:rPr>
          <w:rFonts w:ascii="FreeSerif" w:hAnsi="FreeSerif"/>
          <w:sz w:val="22"/>
        </w:rPr>
        <w:t>Christophe Raineteau n'est pas un observateur extérieur qui commente la situation centrafricaine depuis Paris. Il est poursuivi par la justice centrafricaine sous dix chefs d'accusation, dont mandat d'arrêt international émis par la Cour d'appel de Bangui le 4 juin 2018.</w:t>
      </w:r>
    </w:p>
    <w:p>
      <w:pPr>
        <w:spacing w:after="80"/>
      </w:pPr>
      <w:r>
        <w:rPr>
          <w:rFonts w:ascii="FreeSerif" w:hAnsi="FreeSerif"/>
          <w:sz w:val="22"/>
        </w:rPr>
        <w:t>Il opère sous l'alias « Alpha ».</w:t>
      </w:r>
    </w:p>
    <w:p>
      <w:pPr>
        <w:spacing w:before="120"/>
      </w:pPr>
      <w:r>
        <w:rPr>
          <w:rFonts w:ascii="FreeSerif" w:hAnsi="FreeSerif"/>
          <w:b/>
          <w:color w:val="2C3A4A"/>
          <w:sz w:val="22"/>
        </w:rPr>
        <w:t>L'attentat du 1er mai 2018 — église Notre-Dame de Fatima</w:t>
      </w:r>
    </w:p>
    <w:p>
      <w:pPr>
        <w:spacing w:after="80"/>
      </w:pPr>
      <w:r>
        <w:rPr>
          <w:rFonts w:ascii="FreeSerif" w:hAnsi="FreeSerif"/>
          <w:sz w:val="22"/>
        </w:rPr>
        <w:t>Le 1er mai 2018, des extrémistes armés du quartier KM5 de Bangui attaquent l'église catholique Notre-Dame de Fatima pendant une messe de la Fraternité Saint-Joseph. Bilan : une vingtaine de morts, dont l'abbé Albert Toungoumalet Baba, et une cinquantaine de blessés.</w:t>
      </w:r>
    </w:p>
    <w:p>
      <w:pPr>
        <w:spacing w:after="80"/>
      </w:pPr>
      <w:r>
        <w:rPr>
          <w:rFonts w:ascii="FreeSerif" w:hAnsi="FreeSerif"/>
          <w:sz w:val="22"/>
        </w:rPr>
        <w:t>L'enquête de la Cour d'appel de Bangui établit la complicité de Raineteau avec Djamous Nimery Matar alias Force, chef des extrémistes armés du KM5, et Bernard Cousin, autre mercenaire français présent sur le territoire centrafricain.</w:t>
      </w:r>
    </w:p>
    <w:p>
      <w:pPr>
        <w:spacing w:after="80"/>
      </w:pPr>
      <w:r>
        <w:rPr>
          <w:rFonts w:ascii="FreeSerif" w:hAnsi="FreeSerif"/>
          <w:sz w:val="22"/>
        </w:rPr>
        <w:t>Déclaration du Procureur général de la Cour d'appel de Bangui,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spacing w:after="80"/>
      </w:pPr>
      <w:r>
        <w:rPr>
          <w:rFonts w:ascii="FreeSerif" w:hAnsi="FreeSerif"/>
          <w:sz w:val="22"/>
        </w:rPr>
        <w:t>Les dix chefs d'accusation retenus contre Raineteau, Cousin et Nimery Matar :</w:t>
      </w:r>
    </w:p>
    <w:p>
      <w:pPr>
        <w:pStyle w:val="Listepuces"/>
      </w:pPr>
      <w:r>
        <w:rPr>
          <w:rFonts w:ascii="FreeSerif" w:hAnsi="FreeSerif"/>
          <w:sz w:val="21"/>
        </w:rPr>
        <w:t>Acte de terrorisme</w:t>
      </w:r>
    </w:p>
    <w:p>
      <w:pPr>
        <w:pStyle w:val="Listepuces"/>
      </w:pPr>
      <w:r>
        <w:rPr>
          <w:rFonts w:ascii="FreeSerif" w:hAnsi="FreeSerif"/>
          <w:sz w:val="21"/>
        </w:rPr>
        <w:t>Incendie volontaire de maisons d'habitation</w:t>
      </w:r>
    </w:p>
    <w:p>
      <w:pPr>
        <w:pStyle w:val="Listepuces"/>
      </w:pPr>
      <w:r>
        <w:rPr>
          <w:rFonts w:ascii="FreeSerif" w:hAnsi="FreeSerif"/>
          <w:sz w:val="21"/>
        </w:rPr>
        <w:t>Assassinats volontaires</w:t>
      </w:r>
    </w:p>
    <w:p>
      <w:pPr>
        <w:pStyle w:val="Listepuces"/>
      </w:pPr>
      <w:r>
        <w:rPr>
          <w:rFonts w:ascii="FreeSerif" w:hAnsi="FreeSerif"/>
          <w:sz w:val="21"/>
        </w:rPr>
        <w:t>Association de malfaiteurs</w:t>
      </w:r>
    </w:p>
    <w:p>
      <w:pPr>
        <w:pStyle w:val="Listepuces"/>
      </w:pPr>
      <w:r>
        <w:rPr>
          <w:rFonts w:ascii="FreeSerif" w:hAnsi="FreeSerif"/>
          <w:sz w:val="21"/>
        </w:rPr>
        <w:t>Atteinte à la sûreté intérieure de l'État</w:t>
      </w:r>
    </w:p>
    <w:p>
      <w:pPr>
        <w:pStyle w:val="Listepuces"/>
      </w:pPr>
      <w:r>
        <w:rPr>
          <w:rFonts w:ascii="FreeSerif" w:hAnsi="FreeSerif"/>
          <w:sz w:val="21"/>
        </w:rPr>
        <w:t>Offense au chef de l'État</w:t>
      </w:r>
    </w:p>
    <w:p>
      <w:pPr>
        <w:pStyle w:val="Listepuces"/>
      </w:pPr>
      <w:r>
        <w:rPr>
          <w:rFonts w:ascii="FreeSerif" w:hAnsi="FreeSerif"/>
          <w:sz w:val="21"/>
        </w:rPr>
        <w:t>Rébellion</w:t>
      </w:r>
    </w:p>
    <w:p>
      <w:pPr>
        <w:pStyle w:val="Listepuces"/>
      </w:pPr>
      <w:r>
        <w:rPr>
          <w:rFonts w:ascii="FreeSerif" w:hAnsi="FreeSerif"/>
          <w:sz w:val="21"/>
        </w:rPr>
        <w:t>Haine tribale</w:t>
      </w:r>
    </w:p>
    <w:p>
      <w:pPr>
        <w:pStyle w:val="Listepuces"/>
      </w:pPr>
      <w:r>
        <w:rPr>
          <w:rFonts w:ascii="FreeSerif" w:hAnsi="FreeSerif"/>
          <w:sz w:val="21"/>
        </w:rPr>
        <w:t>Trouble à l'ordre public</w:t>
      </w:r>
    </w:p>
    <w:p>
      <w:pPr>
        <w:pStyle w:val="Listepuces"/>
      </w:pPr>
      <w:r>
        <w:rPr>
          <w:rFonts w:ascii="FreeSerif" w:hAnsi="FreeSerif"/>
          <w:sz w:val="21"/>
        </w:rPr>
        <w:t>*(complicité sur les chefs précédents)*</w:t>
      </w:r>
    </w:p>
    <w:p>
      <w:pPr>
        <w:spacing w:after="80"/>
      </w:pPr>
      <w:r>
        <w:rPr>
          <w:rFonts w:ascii="FreeSerif" w:hAnsi="FreeSerif"/>
          <w:sz w:val="22"/>
        </w:rPr>
        <w:t>Les mandats d'arrêt sont exécutables dans les pays où résident les mercenaires français. Une commission rogatoire internationale a été mise en place. Raineteau fuit Bangui en 2018.</w:t>
      </w:r>
    </w:p>
    <w:p>
      <w:pPr>
        <w:spacing w:after="80"/>
      </w:pPr>
      <w:r>
        <w:rPr>
          <w:rFonts w:ascii="FreeSerif" w:hAnsi="FreeSerif"/>
          <w:sz w:val="22"/>
        </w:rPr>
        <w:t>Source : Erick Ngaba — Ndjoni Sango, Bangui, 3 juin 2018</w:t>
      </w:r>
    </w:p>
    <w:p>
      <w:pPr>
        <w:spacing w:before="200" w:after="60"/>
        <w:pBdr>
          <w:bottom w:val="single" w:sz="7" w:space="3" w:color="A07820"/>
        </w:pBdr>
      </w:pPr>
      <w:r>
        <w:rPr>
          <w:rFonts w:ascii="FreeSerif" w:hAnsi="FreeSerif"/>
          <w:b/>
          <w:color w:val="2C3A4A"/>
          <w:sz w:val="23"/>
        </w:rPr>
        <w:t>Ce que cette déclaration implique</w:t>
      </w:r>
    </w:p>
    <w:p>
      <w:pPr>
        <w:spacing w:after="80"/>
      </w:pPr>
      <w:r>
        <w:rPr>
          <w:rFonts w:ascii="FreeSerif" w:hAnsi="FreeSerif"/>
          <w:sz w:val="22"/>
        </w:rPr>
        <w:t>Un homme condamné à perpétuité par un État souverain, sous mandat d'arrêt international, circule librement en France et annonce publiquement un coup d'État contre ce même État.</w:t>
      </w:r>
    </w:p>
    <w:p>
      <w:pPr/>
      <w:r>
        <w:rPr>
          <w:rFonts w:ascii="FreeSerif" w:hAnsi="FreeSerif"/>
          <w:b/>
          <w:color w:val="2C3A4A"/>
          <w:sz w:val="22"/>
        </w:rPr>
        <w:t>Il n'est pas arrêté.</w:t>
      </w:r>
    </w:p>
    <w:p>
      <w:pPr/>
      <w:r>
        <w:rPr>
          <w:rFonts w:ascii="FreeSerif" w:hAnsi="FreeSerif"/>
          <w:b/>
          <w:color w:val="2C3A4A"/>
          <w:sz w:val="22"/>
        </w:rPr>
        <w:t>Il n'est pas extradé.</w:t>
      </w:r>
    </w:p>
    <w:p>
      <w:pPr/>
      <w:r>
        <w:rPr>
          <w:rFonts w:ascii="FreeSerif" w:hAnsi="FreeSerif"/>
          <w:b/>
          <w:color w:val="2C3A4A"/>
          <w:sz w:val="22"/>
        </w:rPr>
        <w:t>Il n'est pas même interrogé par les autorités françaises.</w:t>
      </w:r>
    </w:p>
    <w:p>
      <w:pPr>
        <w:spacing w:after="80"/>
      </w:pPr>
      <w:r>
        <w:rPr>
          <w:rFonts w:ascii="FreeSerif" w:hAnsi="FreeSerif"/>
          <w:sz w:val="22"/>
        </w:rPr>
        <w:t>La France n'a émis aucune mise en garde, aucune condamnation de cette déclaration publique d'intention de renverser un gouvernement élu.</w:t>
      </w:r>
    </w:p>
    <w:p>
      <w:pPr>
        <w:spacing w:after="80"/>
      </w:pPr>
      <w:r>
        <w:rPr>
          <w:rFonts w:ascii="FreeSerif" w:hAnsi="FreeSerif"/>
          <w:sz w:val="22"/>
        </w:rPr>
        <w:t>Ce silence des autorités françaises face à une déclaration aussi explicite — faite sur le sol français, devant un public français — est lui-même un message.</w:t>
      </w:r>
    </w:p>
    <w:p>
      <w:pPr>
        <w:spacing w:before="200" w:after="60"/>
        <w:pBdr>
          <w:bottom w:val="single" w:sz="7" w:space="3" w:color="A07820"/>
        </w:pBdr>
      </w:pPr>
      <w:r>
        <w:rPr>
          <w:rFonts w:ascii="FreeSerif" w:hAnsi="FreeSerif"/>
          <w:b/>
          <w:color w:val="2C3A4A"/>
          <w:sz w:val="23"/>
        </w:rPr>
        <w:t>La demande de Ndjoni Sango</w:t>
      </w:r>
    </w:p>
    <w:p>
      <w:pPr>
        <w:spacing w:after="80"/>
      </w:pPr>
      <w:r>
        <w:rPr>
          <w:rFonts w:ascii="FreeSerif" w:hAnsi="FreeSerif"/>
          <w:sz w:val="22"/>
        </w:rPr>
        <w:t>Face à cette déclaration, le journaliste Erick Ngaba formule une demande claire aux autorités centrafricaines :</w:t>
      </w:r>
    </w:p>
    <w:p>
      <w:pPr>
        <w:spacing w:after="80"/>
      </w:pPr>
      <w:r>
        <w:rPr>
          <w:rFonts w:ascii="FreeSerif" w:hAnsi="FreeSerif"/>
          <w:sz w:val="22"/>
        </w:rPr>
        <w:t>Convoquer l'ambassadeur de France à Bangui pour obtenir des explications — ou le déclarer persona non grata.</w:t>
      </w:r>
    </w:p>
    <w:p>
      <w:pPr>
        <w:spacing w:after="80"/>
      </w:pPr>
      <w:r>
        <w:rPr>
          <w:rFonts w:ascii="FreeSerif" w:hAnsi="FreeSerif"/>
          <w:sz w:val="22"/>
        </w:rPr>
        <w:t>La déclaration de Raineteau est qualifiée dans l'article d'incitation à l'insurrection et à la rébellion.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pPr>
        <w:spacing w:before="200" w:after="60"/>
        <w:pBdr>
          <w:bottom w:val="single" w:sz="7" w:space="3" w:color="A07820"/>
        </w:pBdr>
      </w:pPr>
      <w:r>
        <w:rPr>
          <w:rFonts w:ascii="FreeSerif" w:hAnsi="FreeSerif"/>
          <w:b/>
          <w:color w:val="2C3A4A"/>
          <w:sz w:val="23"/>
        </w:rPr>
        <w:t>L'assassinat des journalistes russes — Raineteau, suspect principal</w:t>
      </w:r>
    </w:p>
    <w:p>
      <w:pPr>
        <w:spacing w:after="80"/>
      </w:pPr>
      <w:r>
        <w:rPr>
          <w:rFonts w:ascii="FreeSerif" w:hAnsi="FreeSerif"/>
          <w:sz w:val="22"/>
        </w:rPr>
        <w:t>Source : Mamadou Ngainam — Ndjoni Sango, Bangui, 16 juin 2019</w:t>
      </w:r>
    </w:p>
    <w:p>
      <w:pPr>
        <w:spacing w:after="80"/>
      </w:pPr>
      <w:r>
        <w:rPr>
          <w:rFonts w:ascii="FreeSerif" w:hAnsi="FreeSerif"/>
          <w:sz w:val="22"/>
        </w:rPr>
        <w:t>Le 31 juillet 2018, trois journalistes russes sont assassinés sur la route Sibut-Dekoa, en République centrafricaine : Alexandre Rastorguev, Orhan Dzhemal et Kirill Radchenko. Ils avaient été envoyés par le Centre de Gestion d'Enquêtes de Mikhaïl Khodorkovski pour filmer les activités des mercenaires russes de Wagner présents sur le territoire centrafricain.</w:t>
      </w:r>
    </w:p>
    <w:p>
      <w:pPr>
        <w:spacing w:after="80"/>
      </w:pPr>
      <w:r>
        <w:rPr>
          <w:rFonts w:ascii="FreeSerif" w:hAnsi="FreeSerif"/>
          <w:sz w:val="22"/>
        </w:rPr>
        <w:t>L'enquête centrafricaine, relayée par des informations concordantes, désigne Christophe Raineteau comme le suspect principal.</w:t>
      </w:r>
    </w:p>
    <w:p>
      <w:pPr>
        <w:spacing w:before="120"/>
      </w:pPr>
      <w:r>
        <w:rPr>
          <w:rFonts w:ascii="FreeSerif" w:hAnsi="FreeSerif"/>
          <w:b/>
          <w:color w:val="2C3A4A"/>
          <w:sz w:val="22"/>
        </w:rPr>
        <w:t>Les alias et l'identification</w:t>
      </w:r>
    </w:p>
    <w:p>
      <w:pPr>
        <w:spacing w:after="80"/>
      </w:pPr>
      <w:r>
        <w:rPr>
          <w:rFonts w:ascii="FreeSerif" w:hAnsi="FreeSerif"/>
          <w:sz w:val="22"/>
        </w:rPr>
        <w:t>Raineteau opère sous deux alias : Alpha — déjà connu depuis l'affaire de Notre-Dame de Fatima — mais aussi Martin. Les enquêteurs établissent ce double alias grâce à des téléphones portables retrouvés avec des autocollants portant ces noms. Un témoin clé, Sharonne Mailingapu, résidant dans la zone PK5 de Bangui, confirme sa relation directe avec Raineteau et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localisé et arrêté à Antananarivo (Madagascar). L'occasion de l'extrader vers la Centrafrique — ou de le remettre aux autorités russes qui le recherchent — est réelle.</w:t>
      </w:r>
    </w:p>
    <w:p>
      <w:pPr>
        <w:spacing w:after="80"/>
      </w:pPr>
      <w:r>
        <w:rPr>
          <w:rFonts w:ascii="FreeSerif" w:hAnsi="FreeSerif"/>
          <w:sz w:val="22"/>
        </w:rPr>
        <w:t>Elle ne sera pas saisie.</w:t>
      </w:r>
    </w:p>
    <w:p>
      <w:pPr>
        <w:spacing w:after="80"/>
      </w:pPr>
      <w:r>
        <w:rPr>
          <w:rFonts w:ascii="FreeSerif" w:hAnsi="FreeSerif"/>
          <w:sz w:val="22"/>
        </w:rPr>
        <w:t>Des diplomates français interviennent. Raineteau est extrait de la détention malgache, conduit à l'ambassade de France à Antananarivo, et rapatrié à Paris. Il ne sera pas extradé. Il ne sera pas jugé. Il sera protégé.</w:t>
      </w:r>
    </w:p>
    <w:p>
      <w:pPr>
        <w:spacing w:before="120"/>
      </w:pPr>
      <w:r>
        <w:rPr>
          <w:rFonts w:ascii="FreeSerif" w:hAnsi="FreeSerif"/>
          <w:b/>
          <w:color w:val="2C3A4A"/>
          <w:sz w:val="22"/>
        </w:rPr>
        <w:t>La demande du comité russe</w:t>
      </w:r>
    </w:p>
    <w:p>
      <w:pPr>
        <w:spacing w:after="80"/>
      </w:pPr>
      <w:r>
        <w:rPr>
          <w:rFonts w:ascii="FreeSerif" w:hAnsi="FreeSerif"/>
          <w:sz w:val="22"/>
        </w:rPr>
        <w:t>Le comité d'enquête russe adresse une demande officielle à Paris concernant Raineteau. La France n'y donne pas suite.</w:t>
      </w:r>
    </w:p>
    <w:p>
      <w:pPr>
        <w:spacing w:before="120"/>
      </w:pPr>
      <w:r>
        <w:rPr>
          <w:rFonts w:ascii="FreeSerif" w:hAnsi="FreeSerif"/>
          <w:b/>
          <w:color w:val="2C3A4A"/>
          <w:sz w:val="22"/>
        </w:rPr>
        <w:t>La dimension Khodorkovski</w:t>
      </w:r>
    </w:p>
    <w:p>
      <w:pPr>
        <w:spacing w:after="80"/>
      </w:pPr>
      <w:r>
        <w:rPr>
          <w:rFonts w:ascii="FreeSerif" w:hAnsi="FreeSerif"/>
          <w:sz w:val="22"/>
        </w:rPr>
        <w:t>Les trois journalistes travaillaient pour le Centre de Gestion d'Enquêtes, structure financée par Mikhaïl Khodorkovski, oligarque russe en exil à Londres, opposant de longue date à Vladimir Poutine. Leur mission : documenter la présence de mercenaires Wagner en RCA.</w:t>
      </w:r>
    </w:p>
    <w:p>
      <w:pPr>
        <w:spacing w:after="80"/>
      </w:pPr>
      <w:r>
        <w:rPr>
          <w:rFonts w:ascii="FreeSerif" w:hAnsi="FreeSerif"/>
          <w:sz w:val="22"/>
        </w:rPr>
        <w:t>Des journalistes français étaient informés de la mission en cours au moment de sa planification. Cette information, si elle a été transmise à des services de renseignement, transforme l'équation : quelqu'un savait où se trouvaient ces journalistes.</w:t>
      </w:r>
    </w:p>
    <w:p>
      <w:pPr>
        <w:spacing w:before="120"/>
      </w:pPr>
      <w:r>
        <w:rPr>
          <w:rFonts w:ascii="FreeSerif" w:hAnsi="FreeSerif"/>
          <w:b/>
          <w:color w:val="2C3A4A"/>
          <w:sz w:val="22"/>
        </w:rPr>
        <w:t>Ce que cette affaire révèle</w:t>
      </w:r>
    </w:p>
    <w:p>
      <w:pPr>
        <w:spacing w:after="80"/>
      </w:pPr>
      <w:r>
        <w:rPr>
          <w:rFonts w:ascii="FreeSerif" w:hAnsi="FreeSerif"/>
          <w:sz w:val="22"/>
        </w:rPr>
        <w:t>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spacing w:after="80"/>
      </w:pPr>
      <w:r>
        <w:rPr>
          <w:rFonts w:ascii="FreeSerif" w:hAnsi="FreeSerif"/>
          <w:sz w:val="22"/>
        </w:rPr>
        <w:t>Le résultat : trois journalistes russes morts sur une route de brousse centrafricaine. Raineteau arrêté à Madagascar. Raineteau extrait par la France. Raineteau à Paris. Libre.</w:t>
      </w:r>
    </w:p>
    <w:p>
      <w:pPr>
        <w:spacing w:before="200" w:after="60"/>
        <w:pBdr>
          <w:bottom w:val="single" w:sz="7" w:space="3" w:color="A07820"/>
        </w:pBdr>
      </w:pPr>
      <w:r>
        <w:rPr>
          <w:rFonts w:ascii="FreeSerif" w:hAnsi="FreeSerif"/>
          <w:b/>
          <w:color w:val="2C3A4A"/>
          <w:sz w:val="23"/>
        </w:rPr>
        <w:t>La cohérence du tableau</w:t>
      </w:r>
    </w:p>
    <w:p>
      <w:pPr>
        <w:spacing w:after="80"/>
      </w:pPr>
      <w:r>
        <w:rPr>
          <w:rFonts w:ascii="FreeSerif" w:hAnsi="FreeSerif"/>
          <w:sz w:val="22"/>
        </w:rPr>
        <w:t>La déclaration de Raineteau en novembre 2022 s'inscrit dans une séquence documentée :</w:t>
      </w:r>
    </w:p>
    <w:p>
      <w:pPr>
        <w:pStyle w:val="Listepuces"/>
      </w:pPr>
      <w:r>
        <w:rPr>
          <w:rFonts w:ascii="FreeSerif" w:hAnsi="FreeSerif"/>
          <w:sz w:val="21"/>
        </w:rPr>
        <w:t>**Novembre 2022** : Raineteau annonce un coup d'État depuis Paris</w:t>
      </w:r>
    </w:p>
    <w:p>
      <w:pPr>
        <w:pStyle w:val="Listepuces"/>
      </w:pPr>
      <w:r>
        <w:rPr>
          <w:rFonts w:ascii="FreeSerif" w:hAnsi="FreeSerif"/>
          <w:sz w:val="21"/>
        </w:rPr>
        <w:t>**Novembre 2022** : le groupe G-16 (Akandji-Kombé, Mayté) organise ses activités de déstabilisation depuis la France</w:t>
      </w:r>
    </w:p>
    <w:p>
      <w:pPr>
        <w:pStyle w:val="Listepuces"/>
      </w:pPr>
      <w:r>
        <w:rPr>
          <w:rFonts w:ascii="FreeSerif" w:hAnsi="FreeSerif"/>
          <w:sz w:val="21"/>
        </w:rPr>
        <w:t>**Novembre 2022** : la Galaxie Nationale Centrafricaine demande la convocation de l'ambassadeur Grosgurin pour les agissements de Rodrigue Mayté (chapitre 46)</w:t>
      </w:r>
    </w:p>
    <w:p>
      <w:pPr>
        <w:pStyle w:val="Listepuces"/>
      </w:pPr>
      <w:r>
        <w:rPr>
          <w:rFonts w:ascii="FreeSerif" w:hAnsi="FreeSerif"/>
          <w:sz w:val="21"/>
        </w:rPr>
        <w:t>**Décembre 2025** : Nouredine Adam séjourne présumément en France pour préparer l'offensive (chapitre 49)</w:t>
      </w:r>
    </w:p>
    <w:p>
      <w:pPr>
        <w:pStyle w:val="Listepuces"/>
      </w:pPr>
      <w:r>
        <w:rPr>
          <w:rFonts w:ascii="FreeSerif" w:hAnsi="FreeSerif"/>
          <w:sz w:val="21"/>
        </w:rPr>
        <w:t>**Juin 2026** : Thomas Dietrich documente la préparation d'une grande offensive sur Bangui</w:t>
      </w:r>
    </w:p>
    <w:p>
      <w:pPr>
        <w:spacing w:after="80"/>
      </w:pPr>
      <w:r>
        <w:rPr>
          <w:rFonts w:ascii="FreeSerif" w:hAnsi="FreeSerif"/>
          <w:sz w:val="22"/>
        </w:rPr>
        <w:t>Ce n'est pas une série d'incidents isolés. C'est un programme continu, dont le territoire français est la base arrière, et dont la déclaration publique de Raineteau est l'un des rares moments où le masque tombe.</w:t>
      </w:r>
    </w:p>
    <w:p>
      <w:pPr>
        <w:spacing w:after="80"/>
      </w:pPr>
      <w:r>
        <w:rPr>
          <w:rFonts w:ascii="FreeSerif" w:hAnsi="FreeSerif"/>
          <w:sz w:val="22"/>
        </w:rPr>
        <w:t>À rapprocher de : Chapitre 46 — Histoire de la RCA : Fidèle Gouandjika ; Chapitre 49 — RCA : la guerre qui vient (Thomas Dietrich) ; Chapitre 10 — Les réseaux d'influence.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epuces"/>
      </w:pPr>
      <w:r>
        <w:rPr>
          <w:rFonts w:ascii="FreeSerif" w:hAnsi="FreeSerif"/>
          <w:sz w:val="21"/>
        </w:rPr>
        <w:t>La **vente de nationalités centrafricaines** (10 000 passeports mis en vente)</w:t>
      </w:r>
    </w:p>
    <w:p>
      <w:pPr>
        <w:pStyle w:val="Listepuces"/>
      </w:pPr>
      <w:r>
        <w:rPr>
          <w:rFonts w:ascii="FreeSerif" w:hAnsi="FreeSerif"/>
          <w:sz w:val="21"/>
        </w:rPr>
        <w:t>La vente de **terrains** sur le territoire centrafricain</w:t>
      </w:r>
    </w:p>
    <w:p>
      <w:pPr>
        <w:pStyle w:val="Listepuces"/>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epuces"/>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epuces"/>
      </w:pPr>
      <w:r>
        <w:rPr>
          <w:rFonts w:ascii="FreeSerif" w:hAnsi="FreeSerif"/>
          <w:sz w:val="21"/>
        </w:rPr>
        <w:t>La création et la vente d'une *e-Résidence* via le Sango Genesis Paper sont déclarées **inconstitutionnelles**</w:t>
      </w:r>
    </w:p>
    <w:p>
      <w:pPr>
        <w:pStyle w:val="Listepuces"/>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spacing w:after="80"/>
      </w:pPr>
      <w:r>
        <w:rPr>
          <w:rFonts w:ascii="FreeSerif" w:hAnsi="FreeSerif"/>
          <w:sz w:val="22"/>
        </w:rP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spacing w:after="80"/>
      </w:pPr>
      <w:r>
        <w:rPr>
          <w:rFonts w:ascii="FreeSerif" w:hAnsi="FreeSerif"/>
          <w:sz w:val="22"/>
        </w:rP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epuces"/>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w:t>
      </w:r>
    </w:p>
    <w:p>
      <w:pPr>
        <w:spacing w:before="200" w:after="60"/>
        <w:pBdr>
          <w:bottom w:val="single" w:sz="7" w:space="3" w:color="A07820"/>
        </w:pBdr>
      </w:pPr>
      <w:r>
        <w:rPr>
          <w:rFonts w:ascii="FreeSerif" w:hAnsi="FreeSerif"/>
          <w:b/>
          <w:color w:val="2C3A4A"/>
          <w:sz w:val="23"/>
        </w:rPr>
        <w:t>I. 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spacing w:before="200" w:after="60"/>
        <w:pBdr>
          <w:bottom w:val="single" w:sz="7" w:space="3" w:color="A07820"/>
        </w:pBdr>
      </w:pPr>
      <w:r>
        <w:rPr>
          <w:rFonts w:ascii="FreeSerif" w:hAnsi="FreeSerif"/>
          <w:b/>
          <w:color w:val="2C3A4A"/>
          <w:sz w:val="23"/>
        </w:rPr>
        <w:t>II. 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epuces"/>
      </w:pPr>
      <w:r>
        <w:rPr>
          <w:rFonts w:ascii="FreeSerif" w:hAnsi="FreeSerif"/>
          <w:sz w:val="21"/>
        </w:rPr>
        <w:t>Une demande formelle des États arabes — la Ligue arabe vote le 12 mars pour demander l'approbation d'une zone d'exclusion aérienne</w:t>
      </w:r>
    </w:p>
    <w:p>
      <w:pPr>
        <w:pStyle w:val="Listepuces"/>
      </w:pPr>
      <w:r>
        <w:rPr>
          <w:rFonts w:ascii="FreeSerif" w:hAnsi="FreeSerif"/>
          <w:sz w:val="21"/>
        </w:rPr>
        <w:t>Un mandat du Conseil de sécurité de l'ONU — obtenu le 17 mars (résolution 1973, 10 voix pour, 5 abstentions dont Russie et Chine)</w:t>
      </w:r>
    </w:p>
    <w:p>
      <w:pPr>
        <w:pStyle w:val="Listepuces"/>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rPr>
          <w:rFonts w:ascii="FreeSerif" w:hAnsi="FreeSerif"/>
          <w:sz w:val="21"/>
        </w:rPr>
        <w:t>La fureur du Premier ministre Berlusconi, qui menace de couper l'accès aux bases aériennes italiennes</w:t>
      </w:r>
    </w:p>
    <w:p>
      <w:pPr>
        <w:pStyle w:val="Listepuces"/>
      </w:pPr>
      <w:r>
        <w:rPr>
          <w:rFonts w:ascii="FreeSerif" w:hAnsi="FreeSerif"/>
          <w:sz w:val="21"/>
        </w:rPr>
        <w:t>Les soupçons de la Turquie sur les *agendas cachés* français</w:t>
      </w:r>
    </w:p>
    <w:p>
      <w:pPr>
        <w:pStyle w:val="Listepuces"/>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epuces"/>
      </w:pPr>
      <w:r>
        <w:rPr>
          <w:rFonts w:ascii="FreeSerif" w:hAnsi="FreeSerif"/>
          <w:sz w:val="21"/>
        </w:rPr>
        <w:t>Crainte d'un retour de bâton dans leurs propres pays</w:t>
      </w:r>
    </w:p>
    <w:p>
      <w:pPr>
        <w:pStyle w:val="Listepuces"/>
      </w:pPr>
      <w:r>
        <w:rPr>
          <w:rFonts w:ascii="FreeSerif" w:hAnsi="FreeSerif"/>
          <w:sz w:val="21"/>
        </w:rPr>
        <w:t>Colère face aux critiques américaines de l'intervention saoudienne au Bahreïn contre les manifestants</w:t>
      </w:r>
    </w:p>
    <w:p>
      <w:pPr>
        <w:pStyle w:val="Listepuces"/>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III. 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before="200" w:after="60"/>
        <w:pBdr>
          <w:bottom w:val="single" w:sz="7" w:space="3" w:color="A07820"/>
        </w:pBdr>
      </w:pPr>
      <w:r>
        <w:rPr>
          <w:rFonts w:ascii="FreeSerif" w:hAnsi="FreeSerif"/>
          <w:b/>
          <w:color w:val="2C3A4A"/>
          <w:sz w:val="23"/>
        </w:rPr>
        <w:t>IV. 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V. 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epuces"/>
      </w:pPr>
      <w:r>
        <w:rPr>
          <w:rFonts w:ascii="FreeSerif" w:hAnsi="FreeSerif"/>
          <w:sz w:val="21"/>
        </w:rPr>
        <w:t>L'envoi de forces spéciales étrangères (égyptiennes) sur le sol libyen</w:t>
      </w:r>
    </w:p>
    <w:p>
      <w:pPr>
        <w:pStyle w:val="Listepuces"/>
      </w:pPr>
      <w:r>
        <w:rPr>
          <w:rFonts w:ascii="FreeSerif" w:hAnsi="FreeSerif"/>
          <w:sz w:val="21"/>
        </w:rPr>
        <w:t>La fourniture de missiles portatifs aux rebelles</w:t>
      </w:r>
    </w:p>
    <w:p>
      <w:pPr>
        <w:pStyle w:val="Listepuces"/>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VI. 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epuces"/>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epuces"/>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VII. 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p>
      <w:pPr>
        <w:spacing w:after="80"/>
      </w:pPr>
      <w:r>
        <w:rPr>
          <w:rFonts w:ascii="FreeSerif" w:hAnsi="FreeSerif"/>
          <w:sz w:val="22"/>
        </w:rPr>
        <w:t>| Critère | Ex-Yougoslavie/Bosnie | Rwanda | Kosovo | Darfour | Libye |</w:t>
      </w:r>
    </w:p>
    <w:p>
      <w:pPr>
        <w:spacing w:after="80"/>
      </w:pPr>
      <w:r>
        <w:rPr>
          <w:rFonts w:ascii="FreeSerif" w:hAnsi="FreeSerif"/>
          <w:sz w:val="22"/>
        </w:rPr>
        <w:t>|---|---|---|---|---|---|</w:t>
      </w:r>
    </w:p>
    <w:p>
      <w:pPr>
        <w:spacing w:after="80"/>
      </w:pPr>
      <w:r>
        <w:rPr>
          <w:rFonts w:ascii="FreeSerif" w:hAnsi="FreeSerif"/>
          <w:sz w:val="22"/>
        </w:rPr>
        <w:t>| Référence CPI/TPI | 3 ans | 7 mois | — | 2 ans | 9 jours |</w:t>
      </w:r>
    </w:p>
    <w:p>
      <w:pPr>
        <w:spacing w:after="80"/>
      </w:pPr>
      <w:r>
        <w:rPr>
          <w:rFonts w:ascii="FreeSerif" w:hAnsi="FreeSerif"/>
          <w:sz w:val="22"/>
        </w:rPr>
        <w:t>| Embargo sur les armes | 3 mois | — | 1 mois | — | 9 jours |</w:t>
      </w:r>
    </w:p>
    <w:p>
      <w:pPr>
        <w:spacing w:after="80"/>
      </w:pPr>
      <w:r>
        <w:rPr>
          <w:rFonts w:ascii="FreeSerif" w:hAnsi="FreeSerif"/>
          <w:sz w:val="22"/>
        </w:rPr>
        <w:t>| Gel des avoirs | 1 an (Bosnie) | — | — | 2 ans | 9 jours |</w:t>
      </w:r>
    </w:p>
    <w:p>
      <w:pPr>
        <w:spacing w:after="80"/>
      </w:pPr>
      <w:r>
        <w:rPr>
          <w:rFonts w:ascii="FreeSerif" w:hAnsi="FreeSerif"/>
          <w:sz w:val="22"/>
        </w:rPr>
        <w:t>| Zone d'exclusion aérienne | 18 mois (Bosnie) | aucune | 1 an | aucune | 31 jours |</w:t>
      </w:r>
    </w:p>
    <w:p>
      <w:pPr>
        <w:spacing w:after="80"/>
      </w:pPr>
      <w:r>
        <w:rPr>
          <w:rFonts w:ascii="FreeSerif" w:hAnsi="FreeSerif"/>
          <w:sz w:val="22"/>
        </w:rPr>
        <w:t>| Frappes aériennes | 3 ans (Bosnie) | aucune | 1 an | aucune | 31 jours |</w:t>
      </w:r>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epuces"/>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epuces"/>
      </w:pPr>
      <w:r>
        <w:rPr>
          <w:rFonts w:ascii="FreeSerif" w:hAnsi="FreeSerif"/>
          <w:sz w:val="21"/>
        </w:rPr>
        <w:t>Le Kosovo impliquait un autre membre de l'OTAN (la Yougoslavie) — la prudence avait des raisons stratégiques</w:t>
      </w:r>
    </w:p>
    <w:p>
      <w:pPr>
        <w:pStyle w:val="Listepuces"/>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VIII. 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epuces"/>
      </w:pPr>
      <w:r>
        <w:rPr>
          <w:rFonts w:ascii="FreeSerif" w:hAnsi="FreeSerif"/>
          <w:sz w:val="21"/>
        </w:rPr>
        <w:t>**Libye**, 2011-2026 : guerre civile ininterrompue, État effondré, trafic d'armes alimentant le Sahel entier</w:t>
      </w:r>
    </w:p>
    <w:p>
      <w:pPr>
        <w:pStyle w:val="Listepuces"/>
      </w:pPr>
      <w:r>
        <w:rPr>
          <w:rFonts w:ascii="FreeSerif" w:hAnsi="FreeSerif"/>
          <w:sz w:val="21"/>
        </w:rPr>
        <w:t>**Mali**, 2012+ : coup d'État, intervention française Serval/Barkhane, terrorisme incontrôlé</w:t>
      </w:r>
    </w:p>
    <w:p>
      <w:pPr>
        <w:pStyle w:val="Listepuces"/>
      </w:pPr>
      <w:r>
        <w:rPr>
          <w:rFonts w:ascii="FreeSerif" w:hAnsi="FreeSerif"/>
          <w:sz w:val="21"/>
        </w:rPr>
        <w:t>**Sahel**, 2012-2026 : destabilisation en cascade liée directement à l'effondrement libyen</w:t>
      </w:r>
    </w:p>
    <w:p>
      <w:pPr>
        <w:pStyle w:val="Listepuces"/>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epuces"/>
      </w:pPr>
      <w:r>
        <w:rPr>
          <w:rFonts w:ascii="FreeSerif" w:hAnsi="FreeSerif"/>
          <w:sz w:val="21"/>
        </w:rPr>
        <w:t>**La décision a pris trois semaines** (début mars → 15 mars) — pas une longue délibération</w:t>
      </w:r>
    </w:p>
    <w:p>
      <w:pPr>
        <w:pStyle w:val="Listepuces"/>
      </w:pPr>
      <w:r>
        <w:rPr>
          <w:rFonts w:ascii="FreeSerif" w:hAnsi="FreeSerif"/>
          <w:sz w:val="21"/>
        </w:rPr>
        <w:t>**Les négociations ont été ignorées** (Saïf al-Islam proposa un cessez-le-feu le 25 février)</w:t>
      </w:r>
    </w:p>
    <w:p>
      <w:pPr>
        <w:pStyle w:val="Listepuces"/>
      </w:pPr>
      <w:r>
        <w:rPr>
          <w:rFonts w:ascii="FreeSerif" w:hAnsi="FreeSerif"/>
          <w:sz w:val="21"/>
        </w:rPr>
        <w:t>**Les paramilitaires occidentaux étaient déjà présents** avant le mandat ONU</w:t>
      </w:r>
    </w:p>
    <w:p>
      <w:pPr>
        <w:pStyle w:val="Listepuces"/>
      </w:pPr>
      <w:r>
        <w:rPr>
          <w:rFonts w:ascii="FreeSerif" w:hAnsi="FreeSerif"/>
          <w:sz w:val="21"/>
        </w:rPr>
        <w:t>**La limite officielle** (protection des civils) a vite été dépassée</w:t>
      </w:r>
    </w:p>
    <w:p>
      <w:pPr>
        <w:pStyle w:val="Listepuces"/>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s'explique — la rébellion, Ouattara et la France</w:t>
      </w:r>
    </w:p>
    <w:p>
      <w:pPr/>
      <w:r>
        <w:rPr>
          <w:rFonts w:ascii="FreeSerif" w:hAnsi="FreeSerif"/>
          <w:b/>
          <w:color w:val="2C3A4A"/>
          <w:sz w:val="22"/>
        </w:rPr>
        <w:t>par Hermann le Patriote</w:t>
      </w:r>
    </w:p>
    <w:p>
      <w:pPr>
        <w:spacing w:after="80"/>
      </w:pPr>
      <w:r>
        <w:rPr>
          <w:rFonts w:ascii="FreeSerif" w:hAnsi="FreeSerif"/>
          <w:sz w:val="22"/>
        </w:rPr>
        <w:t>Source primaire : Analyse et commentaire de Hermann le Patriote — direct YouTube, veille de Noël 2024. Matériau central : interview de Guillaume Soro sur Espace TV Guinée (postée il y a environ 4 ans). Croisement avec documents déclassifiés US dossier F-2014-20439.</w:t>
      </w:r>
    </w:p>
    <w:p>
      <w:pPr>
        <w:spacing w:before="80" w:after="80"/>
        <w:ind w:left="680" w:right="680"/>
      </w:pPr>
      <w:r>
        <w:rPr>
          <w:rFonts w:ascii="FreeSerif" w:hAnsi="FreeSerif"/>
          <w:i/>
          <w:color w:val="8B1A1A"/>
          <w:sz w:val="21"/>
        </w:rPr>
        <w:t>*« Ce n'est pas à 29 ans que je tisserai des deals de ce genre. »*</w:t>
        <w:br/>
        <w:t>— Guillaume Soro, Espace TV Guinée</w:t>
      </w:r>
    </w:p>
    <w:p>
      <w:pPr>
        <w:spacing w:before="200" w:after="60"/>
        <w:pBdr>
          <w:bottom w:val="single" w:sz="7" w:space="3" w:color="A07820"/>
        </w:pBdr>
      </w:pPr>
      <w:r>
        <w:rPr>
          <w:rFonts w:ascii="FreeSerif" w:hAnsi="FreeSerif"/>
          <w:b/>
          <w:color w:val="2C3A4A"/>
          <w:sz w:val="23"/>
        </w:rPr>
        <w:t>Pourquoi ce document</w:t>
      </w:r>
    </w:p>
    <w:p>
      <w:pPr>
        <w:spacing w:after="80"/>
      </w:pPr>
      <w:r>
        <w:rPr>
          <w:rFonts w:ascii="FreeSerif" w:hAnsi="FreeSerif"/>
          <w:sz w:val="22"/>
        </w:rPr>
        <w:t>Le chapitre précédent documente, à travers les câbles Clinton déclassifiés, comment l'intervention française en Côte d'Ivoire en avril 2011 a été explicitement interprétée — à l'intérieur même du Département d'État américain — comme un message à Kadhafi : « Hello Tripoli. »</w:t>
      </w:r>
    </w:p>
    <w:p>
      <w:pPr>
        <w:spacing w:after="80"/>
      </w:pPr>
      <w:r>
        <w:rPr>
          <w:rFonts w:ascii="FreeSerif" w:hAnsi="FreeSerif"/>
          <w:sz w:val="22"/>
        </w:rPr>
        <w:t>Ce chapitre remonte en amont : qui a fait la rébellion ivoirienne de 2002 ? Pourquoi ? Au profit de qui ? Et que révèle, quinze ans plus tard, celui qui l'a menée ?</w:t>
      </w:r>
    </w:p>
    <w:p>
      <w:pPr>
        <w:spacing w:after="80"/>
      </w:pPr>
      <w:r>
        <w:rPr>
          <w:rFonts w:ascii="FreeSerif" w:hAnsi="FreeSerif"/>
          <w:sz w:val="22"/>
        </w:rPr>
        <w:t>Guillaume Soro —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pPr>
        <w:spacing w:before="200" w:after="60"/>
        <w:pBdr>
          <w:bottom w:val="single" w:sz="7" w:space="3" w:color="A07820"/>
        </w:pBdr>
      </w:pPr>
      <w:r>
        <w:rPr>
          <w:rFonts w:ascii="FreeSerif" w:hAnsi="FreeSerif"/>
          <w:b/>
          <w:color w:val="2C3A4A"/>
          <w:sz w:val="23"/>
        </w:rPr>
        <w:t>I. Le 19 septembre 2002 : qui a fait quoi</w:t>
      </w:r>
    </w:p>
    <w:p>
      <w:pPr>
        <w:spacing w:before="120"/>
      </w:pPr>
      <w:r>
        <w:rPr>
          <w:rFonts w:ascii="FreeSerif" w:hAnsi="FreeSerif"/>
          <w:b/>
          <w:color w:val="2C3A4A"/>
          <w:sz w:val="22"/>
        </w:rPr>
        <w:t>La thèse officielle</w:t>
      </w:r>
    </w:p>
    <w:p>
      <w:pPr>
        <w:spacing w:after="80"/>
      </w:pPr>
      <w:r>
        <w:rPr>
          <w:rFonts w:ascii="FreeSerif" w:hAnsi="FreeSerif"/>
          <w:sz w:val="22"/>
        </w:rPr>
        <w:t>La version longtemps dominante : Guillaume Soro, étudiant militant devenu chef des Forces Nouvelles, prend les armes en septembre 2002 pour défendre les droits des populations du Nord ivoirien victimes de l'ivoirité — doctrine politique excluant de la citoyenneté pleine les Ivoiriens aux ascendances sahéliennes, dont Alassane Ouattara lui-même, dont la candidature à la présidentielle avait été rejetée.</w:t>
      </w:r>
    </w:p>
    <w:p>
      <w:pPr>
        <w:spacing w:before="120"/>
      </w:pPr>
      <w:r>
        <w:rPr>
          <w:rFonts w:ascii="FreeSerif" w:hAnsi="FreeSerif"/>
          <w:b/>
          <w:color w:val="2C3A4A"/>
          <w:sz w:val="22"/>
        </w:rPr>
        <w:t>Ce que dit Soro lui-même</w:t>
      </w:r>
    </w:p>
    <w:p>
      <w:pPr>
        <w:spacing w:after="80"/>
      </w:pPr>
      <w:r>
        <w:rPr>
          <w:rFonts w:ascii="FreeSerif" w:hAnsi="FreeSerif"/>
          <w:sz w:val="22"/>
        </w:rPr>
        <w:t>Dans l'interview Espace TV Guinée, Soro confirme la motivation initiale :</w:t>
      </w:r>
    </w:p>
    <w:p>
      <w:pPr>
        <w:spacing w:before="80" w:after="80"/>
        <w:ind w:left="680" w:right="680"/>
      </w:pPr>
      <w:r>
        <w:rPr>
          <w:rFonts w:ascii="FreeSerif" w:hAnsi="FreeSerif"/>
          <w:i/>
          <w:color w:val="8B1A1A"/>
          <w:sz w:val="21"/>
        </w:rPr>
        <w:t>*«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spacing w:after="80"/>
      </w:pPr>
      <w:r>
        <w:rPr>
          <w:rFonts w:ascii="FreeSerif" w:hAnsi="FreeSerif"/>
          <w:sz w:val="22"/>
        </w:rPr>
        <w:t>Première contradiction : Soro affirme qu'il n'y avait pas de deal avec Ouattara en 2002 — le deal n'est intervenu qu'en 2006, quand le combat « visiblement abouti ». Mais il reconnaît simultanément qu'Ouattara était l'icône pour laquelle ce combat a été mené. La distinction entre idéal et deal est sémantique.</w:t>
      </w:r>
    </w:p>
    <w:p>
      <w:pPr>
        <w:spacing w:before="120"/>
      </w:pPr>
      <w:r>
        <w:rPr>
          <w:rFonts w:ascii="FreeSerif" w:hAnsi="FreeSerif"/>
          <w:b/>
          <w:color w:val="2C3A4A"/>
          <w:sz w:val="22"/>
        </w:rPr>
        <w:t>Ouattara bénéficiaire, pas père</w:t>
      </w:r>
    </w:p>
    <w:p>
      <w:pPr>
        <w:spacing w:after="80"/>
      </w:pPr>
      <w:r>
        <w:rPr>
          <w:rFonts w:ascii="FreeSerif" w:hAnsi="FreeSerif"/>
          <w:sz w:val="22"/>
        </w:rPr>
        <w:t>La formulation de Soro est précise — et révélatrice :</w:t>
      </w:r>
    </w:p>
    <w:p>
      <w:pPr>
        <w:spacing w:before="80" w:after="80"/>
        <w:ind w:left="680" w:right="680"/>
      </w:pPr>
      <w:r>
        <w:rPr>
          <w:rFonts w:ascii="FreeSerif" w:hAnsi="FreeSerif"/>
          <w:i/>
          <w:color w:val="8B1A1A"/>
          <w:sz w:val="21"/>
        </w:rPr>
        <w:t>*Monsieur Ouattara est bénéficiaire de cette affaire. [...] Il n'y avait pas de père ni de fils ni de double femme dans cette affaire.*</w:t>
      </w:r>
    </w:p>
    <w:p>
      <w:pPr>
        <w:spacing w:after="80"/>
      </w:pPr>
      <w:r>
        <w:rPr>
          <w:rFonts w:ascii="FreeSerif" w:hAnsi="FreeSerif"/>
          <w:sz w:val="22"/>
        </w:rPr>
        <w:t>Traduit : Ouattara n'a pas commandé la rébellion. Mais il en a tout récolté — Premier ministre sous Gbagbo d'abord, puis Président à partir de 2011, poste qu'il occupe encore.</w:t>
      </w:r>
    </w:p>
    <w:p>
      <w:pPr>
        <w:spacing w:after="80"/>
      </w:pPr>
      <w:r>
        <w:rPr>
          <w:rFonts w:ascii="FreeSerif" w:hAnsi="FreeSerif"/>
          <w:sz w:val="22"/>
        </w:rPr>
        <w:t>L'analyse d'Herman le Patriote :</w:t>
      </w:r>
    </w:p>
    <w:p>
      <w:pPr>
        <w:spacing w:before="80" w:after="80"/>
        <w:ind w:left="680" w:right="680"/>
      </w:pPr>
      <w:r>
        <w:rPr>
          <w:rFonts w:ascii="FreeSerif" w:hAnsi="FreeSerif"/>
          <w:i/>
          <w:color w:val="8B1A1A"/>
          <w:sz w:val="21"/>
        </w:rPr>
        <w:t>*« Il dit que l'icône de la communauté du Nord était Draman Ouattara. Et puis il dit que Draman n'est pas le père de la rébellion. Mais il était l'icône du Nord pour lequel vous avez combattu. Je ne comprends pas. »*</w:t>
      </w:r>
    </w:p>
    <w:p>
      <w:pPr>
        <w:spacing w:after="80"/>
      </w:pPr>
      <w:r>
        <w:rPr>
          <w:rFonts w:ascii="FreeSerif" w:hAnsi="FreeSerif"/>
          <w:sz w:val="22"/>
        </w:rPr>
        <w:t>C'est la contradiction centrale. Si l'on se bat pour que l'icône d'un peuple puisse accéder au pouvoir, et que cet homme accède effectivement au pouvoir grâce à ce combat, la distinction entre bénéficiaire et père relève de la rhétorique, pas de la réalité politique.</w:t>
      </w:r>
    </w:p>
    <w:p>
      <w:pPr>
        <w:spacing w:before="200" w:after="60"/>
        <w:pBdr>
          <w:bottom w:val="single" w:sz="7" w:space="3" w:color="A07820"/>
        </w:pBdr>
      </w:pPr>
      <w:r>
        <w:rPr>
          <w:rFonts w:ascii="FreeSerif" w:hAnsi="FreeSerif"/>
          <w:b/>
          <w:color w:val="2C3A4A"/>
          <w:sz w:val="23"/>
        </w:rPr>
        <w:t>II. Les trois deals — ce que Soro a dit en janvier</w:t>
      </w:r>
    </w:p>
    <w:p>
      <w:pPr>
        <w:spacing w:after="80"/>
      </w:pPr>
      <w:r>
        <w:rPr>
          <w:rFonts w:ascii="FreeSerif" w:hAnsi="FreeSerif"/>
          <w:sz w:val="22"/>
        </w:rPr>
        <w:t>Avant l'interview Espace TV, Soro avait organisé une conférence de presse en France en janvier (même année) où il avait évoqué trois engagements pris par Ouattara à son égard :</w:t>
      </w:r>
    </w:p>
    <w:p>
      <w:pPr>
        <w:pStyle w:val="Listepuces"/>
      </w:pPr>
      <w:r>
        <w:rPr>
          <w:rFonts w:ascii="FreeSerif" w:hAnsi="FreeSerif"/>
          <w:sz w:val="21"/>
        </w:rPr>
        <w:t>**La vice-présidence** — un poste créé spécifiquement pour lui, qui devait lui permettre d'accéder ensuite à la présidence</w:t>
      </w:r>
    </w:p>
    <w:p>
      <w:pPr>
        <w:pStyle w:val="Listepuces"/>
      </w:pPr>
      <w:r>
        <w:rPr>
          <w:rFonts w:ascii="FreeSerif" w:hAnsi="FreeSerif"/>
          <w:sz w:val="21"/>
        </w:rPr>
        <w:t>**La succession** — Ouattara devait lui passer le pouvoir après son mandat</w:t>
      </w:r>
    </w:p>
    <w:p>
      <w:pPr>
        <w:pStyle w:val="Listepuces"/>
      </w:pPr>
      <w:r>
        <w:rPr>
          <w:rFonts w:ascii="FreeSerif" w:hAnsi="FreeSerif"/>
          <w:sz w:val="21"/>
        </w:rPr>
        <w:t>**La réintégration politique** — retour garanti au premier plan de l'échiquier ivoirien</w:t>
      </w:r>
    </w:p>
    <w:p>
      <w:pPr>
        <w:spacing w:after="80"/>
      </w:pPr>
      <w:r>
        <w:rPr>
          <w:rFonts w:ascii="FreeSerif" w:hAnsi="FreeSerif"/>
          <w:sz w:val="22"/>
        </w:rPr>
        <w:t>Dans l'interview guinéenne, confronté à ces déclarations antérieures, Soro recule :</w:t>
      </w:r>
    </w:p>
    <w:p>
      <w:pPr>
        <w:spacing w:before="80" w:after="80"/>
        <w:ind w:left="680" w:right="680"/>
      </w:pPr>
      <w:r>
        <w:rPr>
          <w:rFonts w:ascii="FreeSerif" w:hAnsi="FreeSerif"/>
          <w:i/>
          <w:color w:val="8B1A1A"/>
          <w:sz w:val="21"/>
        </w:rPr>
        <w:t>*« Il faut que j'aie besoin de repréciser les choses... »*</w:t>
      </w:r>
    </w:p>
    <w:p>
      <w:pPr>
        <w:spacing w:after="80"/>
      </w:pPr>
      <w:r>
        <w:rPr>
          <w:rFonts w:ascii="FreeSerif" w:hAnsi="FreeSerif"/>
          <w:sz w:val="22"/>
        </w:rPr>
        <w:t>Les journalistes guinéens ne lâchent pas :</w:t>
      </w:r>
    </w:p>
    <w:p>
      <w:pPr>
        <w:spacing w:before="80" w:after="80"/>
        <w:ind w:left="680" w:right="680"/>
      </w:pPr>
      <w:r>
        <w:rPr>
          <w:rFonts w:ascii="FreeSerif" w:hAnsi="FreeSerif"/>
          <w:i/>
          <w:color w:val="8B1A1A"/>
          <w:sz w:val="21"/>
        </w:rPr>
        <w:t>*Mais vous avez dit ces trois choses clairement en janvier, monsieur le Président. Qu'est-ce qui a changé ?*</w:t>
      </w:r>
    </w:p>
    <w:p>
      <w:pPr>
        <w:spacing w:after="80"/>
      </w:pPr>
      <w:r>
        <w:rPr>
          <w:rFonts w:ascii="FreeSerif" w:hAnsi="FreeSerif"/>
          <w:sz w:val="22"/>
        </w:rPr>
        <w:t>Soro ne répond pas directement. Il esquive vers la temporalité — le deal n'est intervenu qu'en 2006 — sans nier son existence.</w:t>
      </w:r>
    </w:p>
    <w:p>
      <w:pPr>
        <w:spacing w:after="80"/>
      </w:pPr>
      <w:r>
        <w:rPr>
          <w:rFonts w:ascii="FreeSerif" w:hAnsi="FreeSerif"/>
          <w:sz w:val="22"/>
        </w:rPr>
        <w:t>Ce que révèle cet épisode : en palabre avec Ouattara au moment de l'interview guinéenne (il est en exil depuis 2019 mais les négociations se poursuivent), Soro choisit de ne pas brûler les ponts publiquement. Les journalistes identifient cette posture :</w:t>
      </w:r>
    </w:p>
    <w:p>
      <w:pPr>
        <w:spacing w:before="80" w:after="80"/>
        <w:ind w:left="680" w:right="680"/>
      </w:pPr>
      <w:r>
        <w:rPr>
          <w:rFonts w:ascii="FreeSerif" w:hAnsi="FreeSerif"/>
          <w:i/>
          <w:color w:val="8B1A1A"/>
          <w:sz w:val="21"/>
        </w:rPr>
        <w:t>*« Malgré qu'il y a palabre entre les deux, il venait encore pour défendre Draman Ouattara. [...] Ça veut dire la réconciliation peut sortir de là. Il va vous trahir et puis va se retrouver au RDR. »*</w:t>
      </w:r>
    </w:p>
    <w:p>
      <w:pPr>
        <w:spacing w:before="200" w:after="60"/>
        <w:pBdr>
          <w:bottom w:val="single" w:sz="7" w:space="3" w:color="A07820"/>
        </w:pBdr>
      </w:pPr>
      <w:r>
        <w:rPr>
          <w:rFonts w:ascii="FreeSerif" w:hAnsi="FreeSerif"/>
          <w:b/>
          <w:color w:val="2C3A4A"/>
          <w:sz w:val="23"/>
        </w:rPr>
        <w:t>III. La France, les avions et Gbagbo</w:t>
      </w:r>
    </w:p>
    <w:p>
      <w:pPr>
        <w:spacing w:before="120"/>
      </w:pPr>
      <w:r>
        <w:rPr>
          <w:rFonts w:ascii="FreeSerif" w:hAnsi="FreeSerif"/>
          <w:b/>
          <w:color w:val="2C3A4A"/>
          <w:sz w:val="22"/>
        </w:rPr>
        <w:t>Le récit officiel de novembre 2004</w:t>
      </w:r>
    </w:p>
    <w:p>
      <w:pPr>
        <w:spacing w:after="80"/>
      </w:pPr>
      <w:r>
        <w:rPr>
          <w:rFonts w:ascii="FreeSerif" w:hAnsi="FreeSerif"/>
          <w:sz w:val="22"/>
        </w:rPr>
        <w:t>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p>
      <w:pPr>
        <w:spacing w:before="120"/>
      </w:pPr>
      <w:r>
        <w:rPr>
          <w:rFonts w:ascii="FreeSerif" w:hAnsi="FreeSerif"/>
          <w:b/>
          <w:color w:val="2C3A4A"/>
          <w:sz w:val="22"/>
        </w:rPr>
        <w:t>La contre-lecture de Soro</w:t>
      </w:r>
    </w:p>
    <w:p>
      <w:pPr>
        <w:spacing w:after="80"/>
      </w:pPr>
      <w:r>
        <w:rPr>
          <w:rFonts w:ascii="FreeSerif" w:hAnsi="FreeSerif"/>
          <w:sz w:val="22"/>
        </w:rPr>
        <w:t>Soro, sans le dire explicitement, ouvre une fissure dans cette version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Herman le Patriote commente :</w:t>
      </w:r>
    </w:p>
    <w:p>
      <w:pPr>
        <w:spacing w:before="80" w:after="80"/>
        <w:ind w:left="680" w:right="680"/>
      </w:pPr>
      <w:r>
        <w:rPr>
          <w:rFonts w:ascii="FreeSerif" w:hAnsi="FreeSerif"/>
          <w:i/>
          <w:color w:val="8B1A1A"/>
          <w:sz w:val="21"/>
        </w:rPr>
        <w:t>*« Si c'est Gbagbo qui avait tué les neuf soldats français, il n'allait pas sortir de la CPI. [...] C'était un plan. Ça allait aider les rebelles à rentrer à Abidjan. »*</w:t>
      </w:r>
    </w:p>
    <w:p>
      <w:pPr>
        <w:spacing w:after="80"/>
      </w:pPr>
      <w:r>
        <w:rPr>
          <w:rFonts w:ascii="FreeSerif" w:hAnsi="FreeSerif"/>
          <w:sz w:val="22"/>
        </w:rPr>
        <w:t>La thèse : la France a détruit ses propres positions — ou les a laissé détruire dans des circonstances arrangées — pour avoir un casus belli permettant d'éliminer la force aérienne ivoirienne, qui seule pouvait stopper l'avance des Forces Nouvelles vers le sud. Sans couverture aérienne, Gbagbo ne pouvait pas reprendre le nord.</w:t>
      </w:r>
    </w:p>
    <w:p>
      <w:pPr>
        <w:spacing w:after="80"/>
      </w:pPr>
      <w:r>
        <w:rPr>
          <w:rFonts w:ascii="FreeSerif" w:hAnsi="FreeSerif"/>
          <w:sz w:val="22"/>
        </w:rPr>
        <w:t>L'argument 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 acquitté en 2019 de toutes les charges.</w:t>
      </w:r>
    </w:p>
    <w:p>
      <w:pPr>
        <w:spacing w:before="200" w:after="60"/>
        <w:pBdr>
          <w:bottom w:val="single" w:sz="7" w:space="3" w:color="A07820"/>
        </w:pBdr>
      </w:pPr>
      <w:r>
        <w:rPr>
          <w:rFonts w:ascii="FreeSerif" w:hAnsi="FreeSerif"/>
          <w:b/>
          <w:color w:val="2C3A4A"/>
          <w:sz w:val="23"/>
        </w:rPr>
        <w:t>IV. L'ivoirité — ce que Soro n'a pas dit</w:t>
      </w:r>
    </w:p>
    <w:p>
      <w:pPr>
        <w:spacing w:after="80"/>
      </w:pPr>
      <w:r>
        <w:rPr>
          <w:rFonts w:ascii="FreeSerif" w:hAnsi="FreeSerif"/>
          <w:sz w:val="22"/>
        </w:rPr>
        <w:t>Soro présente l'ivoirité comme une exclusion politique injuste ciblant les Nordistes et les communautés d'ascendance sahélienne. Il compare Bédié à Donald Trump — mais pour s'en démarquer :</w:t>
      </w:r>
    </w:p>
    <w:p>
      <w:pPr>
        <w:spacing w:before="80" w:after="80"/>
        <w:ind w:left="680" w:right="680"/>
      </w:pPr>
      <w:r>
        <w:rPr>
          <w:rFonts w:ascii="FreeSerif" w:hAnsi="FreeSerif"/>
          <w:i/>
          <w:color w:val="8B1A1A"/>
          <w:sz w:val="21"/>
        </w:rPr>
        <w:t>*« Si c'était le cas, pourquoi Bédié n'a pas chassé tous les étrangers ? Ce n'était pas ça. C'était simplement : consommons ivoirien. »*</w:t>
      </w:r>
    </w:p>
    <w:p>
      <w:pPr>
        <w:spacing w:after="80"/>
      </w:pPr>
      <w:r>
        <w:rPr>
          <w:rFonts w:ascii="FreeSerif" w:hAnsi="FreeSerif"/>
          <w:sz w:val="22"/>
        </w:rPr>
        <w:t>Ce que cette lecture occulte :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spacing w:after="80"/>
      </w:pPr>
      <w:r>
        <w:rPr>
          <w:rFonts w:ascii="FreeSerif" w:hAnsi="FreeSerif"/>
          <w:sz w:val="22"/>
        </w:rPr>
        <w:t>Ce que révèle l'exil de Soro : aujourd'hui au Niger, ayant quitté la Côte d'Ivoire fin 2019 après l'annonce de son arrestation pour complot contre l'État, Soro est l'archétype du chef de guerre instrumentalisé et abandonné. Celui qu'il présente comme son idéal — Ouattara — a signé son mandat d'arrêt.</w:t>
      </w:r>
    </w:p>
    <w:p>
      <w:pPr>
        <w:spacing w:before="200" w:after="60"/>
        <w:pBdr>
          <w:bottom w:val="single" w:sz="7" w:space="3" w:color="A07820"/>
        </w:pBdr>
      </w:pPr>
      <w:r>
        <w:rPr>
          <w:rFonts w:ascii="FreeSerif" w:hAnsi="FreeSerif"/>
          <w:b/>
          <w:color w:val="2C3A4A"/>
          <w:sz w:val="23"/>
        </w:rPr>
        <w:t>V. Le patron et le pion — la structure réelle</w:t>
      </w:r>
    </w:p>
    <w:p>
      <w:pPr>
        <w:spacing w:after="80"/>
      </w:pPr>
      <w:r>
        <w:rPr>
          <w:rFonts w:ascii="FreeSerif" w:hAnsi="FreeSerif"/>
          <w:sz w:val="22"/>
        </w:rPr>
        <w:t>L'interview Espace TV révèle, involontairement, la structure de pouvoir réelle derrière la crise ivoirienne :</w:t>
      </w:r>
    </w:p>
    <w:p>
      <w:pPr>
        <w:spacing w:after="80"/>
      </w:pPr>
      <w:r>
        <w:rPr>
          <w:rFonts w:ascii="FreeSerif" w:hAnsi="FreeSerif"/>
          <w:sz w:val="22"/>
        </w:rPr>
        <w:t>1. La France — présente depuis la décolonisation, disposant de bases militaires à Abidjan, liée par des accords de défense, et ayant des intérêts économiques directs (Total, Bouygues, Orange, sociétés d'exploitation minière et agricole).</w:t>
      </w:r>
    </w:p>
    <w:p>
      <w:pPr>
        <w:spacing w:after="80"/>
      </w:pPr>
      <w:r>
        <w:rPr>
          <w:rFonts w:ascii="FreeSerif" w:hAnsi="FreeSerif"/>
          <w:sz w:val="22"/>
        </w:rPr>
        <w:t>2. Ouattara — économiste formé au FMI, figure acceptable pour les institutions financières internationales et les chancelleries occidentales, présenté comme le candidat de la bonne gouvernance et de l'ouverture.</w:t>
      </w:r>
    </w:p>
    <w:p>
      <w:pPr>
        <w:spacing w:after="80"/>
      </w:pPr>
      <w:r>
        <w:rPr>
          <w:rFonts w:ascii="FreeSerif" w:hAnsi="FreeSerif"/>
          <w:sz w:val="22"/>
        </w:rPr>
        <w:t>3. Soro — le bras armé. Étudiant militant avec un réseau dans les campus, capacité de mobilisation, sans famille politique établie, sans fortune propre. Utile pour déclencher la rébellion. Encombrant dès qu'elle est gagnée.</w:t>
      </w:r>
    </w:p>
    <w:p>
      <w:pPr>
        <w:spacing w:after="80"/>
      </w:pPr>
      <w:r>
        <w:rPr>
          <w:rFonts w:ascii="FreeSerif" w:hAnsi="FreeSerif"/>
          <w:sz w:val="22"/>
        </w:rPr>
        <w:t>Herman le Patriote le formule sans ambages :</w:t>
      </w:r>
    </w:p>
    <w:p>
      <w:pPr>
        <w:spacing w:before="80" w:after="80"/>
        <w:ind w:left="680" w:right="680"/>
      </w:pPr>
      <w:r>
        <w:rPr>
          <w:rFonts w:ascii="FreeSerif" w:hAnsi="FreeSerif"/>
          <w:i/>
          <w:color w:val="8B1A1A"/>
          <w:sz w:val="21"/>
        </w:rPr>
        <w:t>*« La France t'a utilisé comme une orange. Elle t'a sucé. Et puis elle t'a jeté. Aujourd'hui tu es au Niger, tu tapes des textes sur ton téléphone, tu écris "mon périple vivace". »*</w:t>
      </w:r>
    </w:p>
    <w:p>
      <w:pPr>
        <w:spacing w:before="200" w:after="60"/>
        <w:pBdr>
          <w:bottom w:val="single" w:sz="7" w:space="3" w:color="A07820"/>
        </w:pBdr>
      </w:pPr>
      <w:r>
        <w:rPr>
          <w:rFonts w:ascii="FreeSerif" w:hAnsi="FreeSerif"/>
          <w:b/>
          <w:color w:val="2C3A4A"/>
          <w:sz w:val="23"/>
        </w:rPr>
        <w:t>VI. Le lien avec le Sahel</w:t>
      </w:r>
    </w:p>
    <w:p>
      <w:pPr>
        <w:spacing w:after="80"/>
      </w:pPr>
      <w:r>
        <w:rPr>
          <w:rFonts w:ascii="FreeSerif" w:hAnsi="FreeSerif"/>
          <w:sz w:val="22"/>
        </w:rPr>
        <w:t>Ce chapitre n'est pas une digression. Il est le chaînon manquant entre la logique du chapitre libyen (Chapitre 54) et la déstabilisation du Sahel.</w:t>
      </w:r>
    </w:p>
    <w:p>
      <w:pPr>
        <w:spacing w:after="80"/>
      </w:pPr>
      <w:r>
        <w:rPr>
          <w:rFonts w:ascii="FreeSerif" w:hAnsi="FreeSerif"/>
          <w:sz w:val="22"/>
        </w:rPr>
        <w:t>La séquence :</w:t>
      </w:r>
    </w:p>
    <w:p>
      <w:pPr>
        <w:pStyle w:val="Listepuces"/>
      </w:pPr>
      <w:r>
        <w:rPr>
          <w:rFonts w:ascii="FreeSerif" w:hAnsi="FreeSerif"/>
          <w:sz w:val="21"/>
        </w:rPr>
        <w:t>**2002** : Rébellion des Forces Nouvelles en Côte d'Ivoire. Soro prend le Nord. La France neutralise l'armée de l'air ivoirienne.</w:t>
      </w:r>
    </w:p>
    <w:p>
      <w:pPr>
        <w:pStyle w:val="Listepuces"/>
      </w:pPr>
      <w:r>
        <w:rPr>
          <w:rFonts w:ascii="FreeSerif" w:hAnsi="FreeSerif"/>
          <w:sz w:val="21"/>
        </w:rPr>
        <w:t>**2004** : Incident de Bouaké — destruction officielle des forces aériennes de Gbagbo.</w:t>
      </w:r>
    </w:p>
    <w:p>
      <w:pPr>
        <w:pStyle w:val="Listepuces"/>
      </w:pPr>
      <w:r>
        <w:rPr>
          <w:rFonts w:ascii="FreeSerif" w:hAnsi="FreeSerif"/>
          <w:sz w:val="21"/>
        </w:rPr>
        <w:t>**2010-2011** : Élections contestées, deuxième intervention française directe, capture de Gbagbo avec l'aide des forces de l'ONU et de la France (opération Licorne).</w:t>
      </w:r>
    </w:p>
    <w:p>
      <w:pPr>
        <w:pStyle w:val="Listepuces"/>
      </w:pPr>
      <w:r>
        <w:rPr>
          <w:rFonts w:ascii="FreeSerif" w:hAnsi="FreeSerif"/>
          <w:sz w:val="21"/>
        </w:rPr>
        <w:t>**Avril 2011** : Gbagbo arrêté. Ouattara au pouvoir. Les analystes du Département d'État américain notent que c'est un *« Hello Tripoli »* — un message à Kadhafi.</w:t>
      </w:r>
    </w:p>
    <w:p>
      <w:pPr>
        <w:pStyle w:val="Listepuces"/>
      </w:pPr>
      <w:r>
        <w:rPr>
          <w:rFonts w:ascii="FreeSerif" w:hAnsi="FreeSerif"/>
          <w:sz w:val="21"/>
        </w:rPr>
        <w:t>**Mars-octobre 2011** : Intervention en Libye. Kadhafi tué.</w:t>
      </w:r>
    </w:p>
    <w:p>
      <w:pPr>
        <w:pStyle w:val="Listepuces"/>
      </w:pPr>
      <w:r>
        <w:rPr>
          <w:rFonts w:ascii="FreeSerif" w:hAnsi="FreeSerif"/>
          <w:sz w:val="21"/>
        </w:rPr>
        <w:t>**2012** : Effondrement du Mali, retour des combattants touareg armés de Libye.</w:t>
      </w:r>
    </w:p>
    <w:p>
      <w:pPr>
        <w:spacing w:after="80"/>
      </w:pPr>
      <w:r>
        <w:rPr>
          <w:rFonts w:ascii="FreeSerif" w:hAnsi="FreeSerif"/>
          <w:sz w:val="22"/>
        </w:rPr>
        <w:t>La Côte d'Ivoire est le modèle qui préfigure la Libye. Même structure : rébellion interne, neutralisation de l'armée régulière par la France, intervention finale décisive, changement de régime présenté comme victoire démocratique.</w:t>
      </w:r>
    </w:p>
    <w:p>
      <w:pPr>
        <w:spacing w:after="80"/>
      </w:pPr>
      <w:r>
        <w:rPr>
          <w:rFonts w:ascii="FreeSerif" w:hAnsi="FreeSerif"/>
          <w:sz w:val="22"/>
        </w:rPr>
        <w:t>Soro est à la rébellion ivoirienne ce que le CNL (Conseil National Libyen) est à la rébellion libyenne : l'instrument local d'un changement de régime dont les bénéficiaires réels sont ailleurs.</w:t>
      </w:r>
    </w:p>
    <w:p>
      <w:pPr>
        <w:spacing w:before="200" w:after="60"/>
        <w:pBdr>
          <w:bottom w:val="single" w:sz="7" w:space="3" w:color="A07820"/>
        </w:pBdr>
      </w:pPr>
      <w:r>
        <w:rPr>
          <w:rFonts w:ascii="FreeSerif" w:hAnsi="FreeSerif"/>
          <w:b/>
          <w:color w:val="2C3A4A"/>
          <w:sz w:val="23"/>
        </w:rPr>
        <w:t>VII. Ce que révèle l'exil</w:t>
      </w:r>
    </w:p>
    <w:p>
      <w:pPr>
        <w:spacing w:after="80"/>
      </w:pPr>
      <w:r>
        <w:rPr>
          <w:rFonts w:ascii="FreeSerif" w:hAnsi="FreeSerif"/>
          <w:sz w:val="22"/>
        </w:rPr>
        <w:t>Fin 2019, Guillaume Soro annonce son retour en Côte d'Ivoire pour présenter sa candidature à la présidentielle de 2020. Son avion est refoulé. Il est condamné par contumace à vingt ans de prison pour recel de détournement de deniers publics et complot contre l'autorité de l'État.</w:t>
      </w:r>
    </w:p>
    <w:p>
      <w:pPr>
        <w:spacing w:after="80"/>
      </w:pPr>
      <w:r>
        <w:rPr>
          <w:rFonts w:ascii="FreeSerif" w:hAnsi="FreeSerif"/>
          <w:sz w:val="22"/>
        </w:rPr>
        <w:t>Il réside depuis au Niger — celui-là même qu'il avait contribué à déstabiliser indirectement en participant à la déstructuration du Sahel occidental.</w:t>
      </w:r>
    </w:p>
    <w:p>
      <w:pPr>
        <w:spacing w:after="80"/>
      </w:pPr>
      <w:r>
        <w:rPr>
          <w:rFonts w:ascii="FreeSerif" w:hAnsi="FreeSerif"/>
          <w:sz w:val="22"/>
        </w:rPr>
        <w:t>L'ironie géopolitique :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spacing w:after="80"/>
      </w:pPr>
      <w:r>
        <w:rPr>
          <w:rFonts w:ascii="FreeSerif" w:hAnsi="FreeSerif"/>
          <w:sz w:val="22"/>
        </w:rPr>
        <w:t>Chaque Noël, il poste des messages sur les réseaux sociaux. Les Ivoiriens de la diaspora débattent. Herman le Patriote analyse. Et Ouattara gouverne à Abidjan.</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spacing w:after="80"/>
      </w:pPr>
      <w:r>
        <w:rPr>
          <w:rFonts w:ascii="FreeSerif" w:hAnsi="FreeSerif"/>
          <w:sz w:val="22"/>
        </w:rPr>
        <w:t>Ce qu'il dit confirme l'essentiel :</w:t>
      </w:r>
    </w:p>
    <w:p>
      <w:pPr>
        <w:pStyle w:val="Listepuces"/>
      </w:pPr>
      <w:r>
        <w:rPr>
          <w:rFonts w:ascii="FreeSerif" w:hAnsi="FreeSerif"/>
          <w:sz w:val="21"/>
        </w:rPr>
        <w:t>Il y avait un *deal* — même si le mot le gêne</w:t>
      </w:r>
    </w:p>
    <w:p>
      <w:pPr>
        <w:pStyle w:val="Listepuces"/>
      </w:pPr>
      <w:r>
        <w:rPr>
          <w:rFonts w:ascii="FreeSerif" w:hAnsi="FreeSerif"/>
          <w:sz w:val="21"/>
        </w:rPr>
        <w:t>Ouattara en a tout bénéficié</w:t>
      </w:r>
    </w:p>
    <w:p>
      <w:pPr>
        <w:pStyle w:val="Listepuces"/>
      </w:pPr>
      <w:r>
        <w:rPr>
          <w:rFonts w:ascii="FreeSerif" w:hAnsi="FreeSerif"/>
          <w:sz w:val="21"/>
        </w:rPr>
        <w:t>La France a joué un rôle déterminant dans la défaite militaire de Gbagbo</w:t>
      </w:r>
    </w:p>
    <w:p>
      <w:pPr>
        <w:pStyle w:val="Listepuces"/>
      </w:pPr>
      <w:r>
        <w:rPr>
          <w:rFonts w:ascii="FreeSerif" w:hAnsi="FreeSerif"/>
          <w:sz w:val="21"/>
        </w:rPr>
        <w:t>Soro lui-même, le vainqueur de 2011, est aujourd'hui en exil</w:t>
      </w:r>
    </w:p>
    <w:p>
      <w:pPr>
        <w:spacing w:after="80"/>
      </w:pPr>
      <w:r>
        <w:rPr>
          <w:rFonts w:ascii="FreeSerif" w:hAnsi="FreeSerif"/>
          <w:sz w:val="22"/>
        </w:rPr>
        <w:t>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 chapitre est entièrement construit à partir de l'analyse produite par Hermann le Patriote 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spacing w:after="80"/>
      </w:pPr>
      <w:r>
        <w:rPr>
          <w:rFonts w:ascii="FreeSerif" w:hAnsi="FreeSerif"/>
          <w:sz w:val="22"/>
        </w:rPr>
        <w:t>L'interview Guillaume Soro / Espace TV Guinée a été postée il y a environ quatre ans sur cette chaîne guinéenne. Les connexions avec la Côte d'Ivoire comme signal à la Libye sont documentées dans le dossier déclassifié F-2014-20439, document C05780569 (Nelson Report, 12 avril 2011 — voir Chapitre 54, Section VI).</w:t>
      </w:r>
    </w:p>
    <w:p>
      <w:pPr>
        <w:spacing w:after="80"/>
      </w:pPr>
      <w:r>
        <w:rPr>
          <w:rFonts w:ascii="FreeSerif" w:hAnsi="FreeSerif"/>
          <w:sz w:val="22"/>
        </w:rPr>
        <w:t>À rapprocher de : Chapitre 54 — Libye : les câbles Clinton ; Chapitre 11 — La crise libyenne ; Chapitre 20 — La guerre proxy.</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before="200" w:after="60"/>
        <w:pBdr>
          <w:bottom w:val="single" w:sz="7" w:space="3" w:color="A07820"/>
        </w:pBdr>
      </w:pPr>
      <w:r>
        <w:rPr>
          <w:rFonts w:ascii="FreeSerif" w:hAnsi="FreeSerif"/>
          <w:b/>
          <w:color w:val="2C3A4A"/>
          <w:sz w:val="23"/>
        </w:rPr>
        <w:t>I. 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II. 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epuces"/>
      </w:pPr>
      <w:r>
        <w:rPr>
          <w:rFonts w:ascii="FreeSerif" w:hAnsi="FreeSerif"/>
          <w:sz w:val="21"/>
        </w:rPr>
        <w:t>**La vice-présidence** — un poste créé pour lui, devant le mener à la présidence</w:t>
      </w:r>
    </w:p>
    <w:p>
      <w:pPr>
        <w:pStyle w:val="Listepuces"/>
      </w:pPr>
      <w:r>
        <w:rPr>
          <w:rFonts w:ascii="FreeSerif" w:hAnsi="FreeSerif"/>
          <w:sz w:val="21"/>
        </w:rPr>
        <w:t>**La succession** — Ouattara était censé lui passer le pouvoir</w:t>
      </w:r>
    </w:p>
    <w:p>
      <w:pPr>
        <w:pStyle w:val="Listepuces"/>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before="200" w:after="60"/>
        <w:pBdr>
          <w:bottom w:val="single" w:sz="7" w:space="3" w:color="A07820"/>
        </w:pBdr>
      </w:pPr>
      <w:r>
        <w:rPr>
          <w:rFonts w:ascii="FreeSerif" w:hAnsi="FreeSerif"/>
          <w:b/>
          <w:color w:val="2C3A4A"/>
          <w:sz w:val="23"/>
        </w:rPr>
        <w:t>III. 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epuces"/>
      </w:pPr>
      <w:r>
        <w:rPr>
          <w:rFonts w:ascii="FreeSerif" w:hAnsi="FreeSerif"/>
          <w:sz w:val="21"/>
        </w:rPr>
        <w:t>Il est en exil au Niger</w:t>
      </w:r>
    </w:p>
    <w:p>
      <w:pPr>
        <w:pStyle w:val="Listepuces"/>
      </w:pPr>
      <w:r>
        <w:rPr>
          <w:rFonts w:ascii="FreeSerif" w:hAnsi="FreeSerif"/>
          <w:sz w:val="21"/>
        </w:rPr>
        <w:t>Il ne parle pas à la communauté internationale</w:t>
      </w:r>
    </w:p>
    <w:p>
      <w:pPr>
        <w:pStyle w:val="Listepuces"/>
      </w:pPr>
      <w:r>
        <w:rPr>
          <w:rFonts w:ascii="FreeSerif" w:hAnsi="FreeSerif"/>
          <w:sz w:val="21"/>
        </w:rPr>
        <w:t>Il ne dénonce pas Ouattara comme il dénonçait Gbagbo</w:t>
      </w:r>
    </w:p>
    <w:p>
      <w:pPr>
        <w:pStyle w:val="Listepuces"/>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w:t>
      </w:r>
    </w:p>
    <w:p>
      <w:pPr>
        <w:spacing w:before="200" w:after="60"/>
        <w:pBdr>
          <w:bottom w:val="single" w:sz="7" w:space="3" w:color="A07820"/>
        </w:pBdr>
      </w:pPr>
      <w:r>
        <w:rPr>
          <w:rFonts w:ascii="FreeSerif" w:hAnsi="FreeSerif"/>
          <w:b/>
          <w:color w:val="2C3A4A"/>
          <w:sz w:val="23"/>
        </w:rPr>
        <w:t>IV. 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before="200" w:after="60"/>
        <w:pBdr>
          <w:bottom w:val="single" w:sz="7" w:space="3" w:color="A07820"/>
        </w:pBdr>
      </w:pPr>
      <w:r>
        <w:rPr>
          <w:rFonts w:ascii="FreeSerif" w:hAnsi="FreeSerif"/>
          <w:b/>
          <w:color w:val="2C3A4A"/>
          <w:sz w:val="23"/>
        </w:rPr>
        <w:t>V. 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Gbagbo :</w:t>
            </w:r>
          </w:p>
        </w:tc>
      </w:tr>
      <w:tr>
        <w:tc>
          <w:tcPr>
            <w:tcW w:type="dxa" w:w="6624"/>
            <w:shd w:val="clear" w:color="auto" w:fill="F4EFE4"/>
          </w:tcPr>
          <w:p>
            <w:pPr>
              <w:ind w:left="113"/>
            </w:pPr>
            <w:r>
              <w:rPr>
                <w:rFonts w:ascii="FreeSerif" w:hAnsi="FreeSerif"/>
                <w:color w:val="3C3C3C"/>
                <w:sz w:val="19"/>
              </w:rPr>
              <w:t>N'a pas arrêté d'artistes</w:t>
            </w:r>
          </w:p>
        </w:tc>
      </w:tr>
      <w:tr>
        <w:tc>
          <w:tcPr>
            <w:tcW w:type="dxa" w:w="6624"/>
            <w:shd w:val="clear" w:color="auto" w:fill="F4EFE4"/>
          </w:tcPr>
          <w:p>
            <w:pPr>
              <w:ind w:left="113"/>
            </w:pPr>
            <w:r>
              <w:rPr>
                <w:rFonts w:ascii="FreeSerif" w:hAnsi="FreeSerif"/>
                <w:color w:val="3C3C3C"/>
                <w:sz w:val="19"/>
              </w:rPr>
              <w:t>N'a pas emprisonné de politiciens</w:t>
            </w:r>
          </w:p>
        </w:tc>
      </w:tr>
      <w:tr>
        <w:tc>
          <w:tcPr>
            <w:tcW w:type="dxa" w:w="6624"/>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pPr>
              <w:ind w:left="113"/>
            </w:pPr>
            <w:r>
              <w:rPr>
                <w:rFonts w:ascii="FreeSerif" w:hAnsi="FreeSerif"/>
                <w:b/>
                <w:caps/>
                <w:color w:val="FFFFFF"/>
                <w:sz w:val="20"/>
              </w:rPr>
              <w:t>Les faits sur Ouattara :</w:t>
            </w:r>
          </w:p>
        </w:tc>
      </w:tr>
      <w:tr>
        <w:tc>
          <w:tcPr>
            <w:tcW w:type="dxa" w:w="6624"/>
            <w:shd w:val="clear" w:color="auto" w:fill="F4EFE4"/>
          </w:tcPr>
          <w:p>
            <w:pPr>
              <w:ind w:left="113"/>
            </w:pPr>
            <w:r>
              <w:rPr>
                <w:rFonts w:ascii="FreeSerif" w:hAnsi="FreeSerif"/>
                <w:color w:val="3C3C3C"/>
                <w:sz w:val="19"/>
              </w:rPr>
              <w:t>Emprisonne les critiques</w:t>
            </w:r>
          </w:p>
        </w:tc>
      </w:tr>
      <w:tr>
        <w:tc>
          <w:tcPr>
            <w:tcW w:type="dxa" w:w="6624"/>
            <w:shd w:val="clear" w:color="auto" w:fill="F4EFE4"/>
          </w:tcPr>
          <w:p>
            <w:pPr>
              <w:ind w:left="113"/>
            </w:pPr>
            <w:r>
              <w:rPr>
                <w:rFonts w:ascii="FreeSerif" w:hAnsi="FreeSerif"/>
                <w:color w:val="3C3C3C"/>
                <w:sz w:val="19"/>
              </w:rPr>
              <w:t>Poursuit les artistes</w:t>
            </w:r>
          </w:p>
        </w:tc>
      </w:tr>
      <w:tr>
        <w:tc>
          <w:tcPr>
            <w:tcW w:type="dxa" w:w="6624"/>
            <w:shd w:val="clear" w:color="auto" w:fill="F4EFE4"/>
          </w:tcPr>
          <w:p>
            <w:pPr>
              <w:ind w:left="113"/>
            </w:pPr>
            <w:r>
              <w:rPr>
                <w:rFonts w:ascii="FreeSerif" w:hAnsi="FreeSerif"/>
                <w:color w:val="3C3C3C"/>
                <w:sz w:val="19"/>
              </w:rPr>
              <w:t>Arrête les pasteurs, les imams, les politiciens</w:t>
            </w:r>
          </w:p>
        </w:tc>
      </w:tr>
      <w:tr>
        <w:tc>
          <w:tcPr>
            <w:tcW w:type="dxa" w:w="6624"/>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VI. L'enrichissement illégal — d'où vient l'argent</w:t>
      </w:r>
    </w:p>
    <w:p>
      <w:pPr/>
      <w:r>
        <w:rPr>
          <w:rFonts w:ascii="FreeSerif" w:hAnsi="FreeSerif"/>
          <w:b/>
          <w:color w:val="2C3A4A"/>
          <w:sz w:val="22"/>
        </w:rPr>
        <w:t>Le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Donc : Soro est devenu riche sur le sang des Ivoiriens — à travers le vol systématique de leurs biens.</w:t>
      </w:r>
    </w:p>
    <w:p>
      <w:pPr>
        <w:spacing w:before="200" w:after="60"/>
        <w:pBdr>
          <w:bottom w:val="single" w:sz="7" w:space="3" w:color="A07820"/>
        </w:pBdr>
      </w:pPr>
      <w:r>
        <w:rPr>
          <w:rFonts w:ascii="FreeSerif" w:hAnsi="FreeSerif"/>
          <w:b/>
          <w:color w:val="2C3A4A"/>
          <w:sz w:val="23"/>
        </w:rPr>
        <w:t>VII. 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epuces"/>
      </w:pPr>
      <w:r>
        <w:rPr>
          <w:rFonts w:ascii="FreeSerif" w:hAnsi="FreeSerif"/>
          <w:sz w:val="21"/>
        </w:rPr>
        <w:t>Contacter France 24, RFI, BBC</w:t>
      </w:r>
    </w:p>
    <w:p>
      <w:pPr>
        <w:pStyle w:val="Listepuces"/>
      </w:pPr>
      <w:r>
        <w:rPr>
          <w:rFonts w:ascii="FreeSerif" w:hAnsi="FreeSerif"/>
          <w:sz w:val="21"/>
        </w:rPr>
        <w:t>Organiser des manifestations du Niger vers la Côte d'Ivoire</w:t>
      </w:r>
    </w:p>
    <w:p>
      <w:pPr>
        <w:pStyle w:val="Listepuces"/>
      </w:pPr>
      <w:r>
        <w:rPr>
          <w:rFonts w:ascii="FreeSerif" w:hAnsi="FreeSerif"/>
          <w:sz w:val="21"/>
        </w:rPr>
        <w:t>Utiliser ses 7000+ followers Telegram pour mobiliser</w:t>
      </w:r>
    </w:p>
    <w:p>
      <w:pPr>
        <w:spacing w:after="80"/>
      </w:pPr>
      <w:r>
        <w:rPr>
          <w:rFonts w:ascii="FreeSerif" w:hAnsi="FreeSerif"/>
          <w:sz w:val="22"/>
        </w:rPr>
        <w:t>Il n'a rien fait. Conclusion : il n'aime pas les Ivoiriens.</w:t>
      </w:r>
    </w:p>
    <w:p>
      <w:pPr/>
      <w:r>
        <w:rPr>
          <w:rFonts w:ascii="FreeSerif" w:hAnsi="FreeSerif"/>
          <w:b/>
          <w:color w:val="2C3A4A"/>
          <w:sz w:val="22"/>
        </w:rPr>
        <w:t>Scenario 2 : Il attend</w:t>
      </w:r>
    </w:p>
    <w:p>
      <w:pPr>
        <w:spacing w:after="80"/>
      </w:pPr>
      <w:r>
        <w:rPr>
          <w:rFonts w:ascii="FreeSerif" w:hAnsi="FreeSerif"/>
          <w:sz w:val="22"/>
        </w:rPr>
        <w:t>Il attend que :</w:t>
      </w:r>
    </w:p>
    <w:p>
      <w:pPr>
        <w:pStyle w:val="Listepuces"/>
      </w:pPr>
      <w:r>
        <w:rPr>
          <w:rFonts w:ascii="FreeSerif" w:hAnsi="FreeSerif"/>
          <w:sz w:val="21"/>
        </w:rPr>
        <w:t>Le peuple ivoirien fasse l'effort</w:t>
      </w:r>
    </w:p>
    <w:p>
      <w:pPr>
        <w:pStyle w:val="Listepuces"/>
      </w:pPr>
      <w:r>
        <w:rPr>
          <w:rFonts w:ascii="FreeSerif" w:hAnsi="FreeSerif"/>
          <w:sz w:val="21"/>
        </w:rPr>
        <w:t>Quelqu'un d'autre enlève Ouattara</w:t>
      </w:r>
    </w:p>
    <w:p>
      <w:pPr>
        <w:pStyle w:val="Listepuces"/>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VIII. Comparaison avec Laurent Gbagbo</w:t>
      </w:r>
    </w:p>
    <w:p>
      <w:pPr/>
      <w:r>
        <w:rPr>
          <w:rFonts w:ascii="FreeSerif" w:hAnsi="FreeSerif"/>
          <w:b/>
          <w:color w:val="2C3A4A"/>
          <w:sz w:val="22"/>
        </w:rPr>
        <w:t>Gbagbo en 2024 :</w:t>
      </w:r>
    </w:p>
    <w:p>
      <w:pPr>
        <w:pStyle w:val="Listepuces"/>
      </w:pPr>
      <w:r>
        <w:rPr>
          <w:rFonts w:ascii="FreeSerif" w:hAnsi="FreeSerif"/>
          <w:sz w:val="21"/>
        </w:rPr>
        <w:t>Peut rentrer en Côte d'Ivoire librement (depuis 2021)</w:t>
      </w:r>
    </w:p>
    <w:p>
      <w:pPr>
        <w:pStyle w:val="Listepuces"/>
      </w:pPr>
      <w:r>
        <w:rPr>
          <w:rFonts w:ascii="FreeSerif" w:hAnsi="FreeSerif"/>
          <w:sz w:val="21"/>
        </w:rPr>
        <w:t>Reçoit un détachement de sécurité (comme tous les anciens chefs d'État)</w:t>
      </w:r>
    </w:p>
    <w:p>
      <w:pPr>
        <w:pStyle w:val="Listepuces"/>
      </w:pPr>
      <w:r>
        <w:rPr>
          <w:rFonts w:ascii="FreeSerif" w:hAnsi="FreeSerif"/>
          <w:sz w:val="21"/>
        </w:rPr>
        <w:t>N'a pas tué pour être président — il s'est présenté, le peuple l'a voté</w:t>
      </w:r>
    </w:p>
    <w:p>
      <w:pPr>
        <w:pStyle w:val="Listepuces"/>
      </w:pPr>
      <w:r>
        <w:rPr>
          <w:rFonts w:ascii="FreeSerif" w:hAnsi="FreeSerif"/>
          <w:sz w:val="21"/>
        </w:rPr>
        <w:t>Est respecté même par ceux qui le combattent</w:t>
      </w:r>
    </w:p>
    <w:p>
      <w:pPr>
        <w:pStyle w:val="Listepuces"/>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epuces"/>
      </w:pPr>
      <w:r>
        <w:rPr>
          <w:rFonts w:ascii="FreeSerif" w:hAnsi="FreeSerif"/>
          <w:sz w:val="21"/>
        </w:rPr>
        <w:t>En exil au Niger</w:t>
      </w:r>
    </w:p>
    <w:p>
      <w:pPr>
        <w:pStyle w:val="Listepuces"/>
      </w:pPr>
      <w:r>
        <w:rPr>
          <w:rFonts w:ascii="FreeSerif" w:hAnsi="FreeSerif"/>
          <w:sz w:val="21"/>
        </w:rPr>
        <w:t>Condamné à 20 ans de prison</w:t>
      </w:r>
    </w:p>
    <w:p>
      <w:pPr>
        <w:pStyle w:val="Listepuces"/>
      </w:pPr>
      <w:r>
        <w:rPr>
          <w:rFonts w:ascii="FreeSerif" w:hAnsi="FreeSerif"/>
          <w:sz w:val="21"/>
        </w:rPr>
        <w:t>Son avion refoulé en 2019</w:t>
      </w:r>
    </w:p>
    <w:p>
      <w:pPr>
        <w:pStyle w:val="Listepuces"/>
      </w:pPr>
      <w:r>
        <w:rPr>
          <w:rFonts w:ascii="FreeSerif" w:hAnsi="FreeSerif"/>
          <w:sz w:val="21"/>
        </w:rPr>
        <w:t>Réduit à écrire des textes sur les réseaux</w:t>
      </w:r>
    </w:p>
    <w:p>
      <w:pPr>
        <w:pStyle w:val="Listepuces"/>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w:t>
      </w:r>
    </w:p>
    <w:p>
      <w:pPr>
        <w:spacing w:before="200" w:after="60"/>
        <w:pBdr>
          <w:bottom w:val="single" w:sz="7" w:space="3" w:color="A07820"/>
        </w:pBdr>
      </w:pPr>
      <w:r>
        <w:rPr>
          <w:rFonts w:ascii="FreeSerif" w:hAnsi="FreeSerif"/>
          <w:b/>
          <w:color w:val="2C3A4A"/>
          <w:sz w:val="23"/>
        </w:rPr>
        <w:t>IX. 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epuces"/>
      </w:pPr>
      <w:r>
        <w:rPr>
          <w:rFonts w:ascii="FreeSerif" w:hAnsi="FreeSerif"/>
          <w:sz w:val="21"/>
        </w:rPr>
        <w:t>Il a travaillé avec le RDR (parti de Ouattara)</w:t>
      </w:r>
    </w:p>
    <w:p>
      <w:pPr>
        <w:pStyle w:val="Listepuces"/>
      </w:pPr>
      <w:r>
        <w:rPr>
          <w:rFonts w:ascii="FreeSerif" w:hAnsi="FreeSerif"/>
          <w:sz w:val="21"/>
        </w:rPr>
        <w:t>Il gagne de l'argent sur YouTube grâce à ces critiques</w:t>
      </w:r>
    </w:p>
    <w:p>
      <w:pPr>
        <w:pStyle w:val="Listepuces"/>
      </w:pPr>
      <w:r>
        <w:rPr>
          <w:rFonts w:ascii="FreeSerif" w:hAnsi="FreeSerif"/>
          <w:sz w:val="21"/>
        </w:rPr>
        <w:t>Dès que les algorithmes YouTube changent, il changera de position</w:t>
      </w:r>
    </w:p>
    <w:p>
      <w:pPr>
        <w:pStyle w:val="Listepuces"/>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X. 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XI. Le résumé accusatoire final</w:t>
      </w:r>
    </w:p>
    <w:p>
      <w:pPr/>
      <w:r>
        <w:rPr>
          <w:rFonts w:ascii="FreeSerif" w:hAnsi="FreeSerif"/>
          <w:b/>
          <w:color w:val="2C3A4A"/>
          <w:sz w:val="22"/>
        </w:rPr>
        <w:t>Hermann énumère les crimes de Soro :</w:t>
      </w:r>
    </w:p>
    <w:p>
      <w:pPr>
        <w:pStyle w:val="Listepuces"/>
      </w:pPr>
      <w:r>
        <w:rPr>
          <w:rFonts w:ascii="FreeSerif" w:hAnsi="FreeSerif"/>
          <w:sz w:val="21"/>
        </w:rPr>
        <w:t>**Assassinat de 100 000+ Ivoiriens** — au profit d'Ouattara</w:t>
      </w:r>
    </w:p>
    <w:p>
      <w:pPr>
        <w:pStyle w:val="Listepuces"/>
      </w:pPr>
      <w:r>
        <w:rPr>
          <w:rFonts w:ascii="FreeSerif" w:hAnsi="FreeSerif"/>
          <w:sz w:val="21"/>
        </w:rPr>
        <w:t>**Pillage systématique** — vol des biens en Cocodi, enrichissement criminel</w:t>
      </w:r>
    </w:p>
    <w:p>
      <w:pPr>
        <w:pStyle w:val="Listepuces"/>
      </w:pPr>
      <w:r>
        <w:rPr>
          <w:rFonts w:ascii="FreeSerif" w:hAnsi="FreeSerif"/>
          <w:sz w:val="21"/>
        </w:rPr>
        <w:t>**Mensonges répétés** — sur ses motivations, sur le deal avec Ouattara</w:t>
      </w:r>
    </w:p>
    <w:p>
      <w:pPr>
        <w:pStyle w:val="Listepuces"/>
      </w:pPr>
      <w:r>
        <w:rPr>
          <w:rFonts w:ascii="FreeSerif" w:hAnsi="FreeSerif"/>
          <w:sz w:val="21"/>
        </w:rPr>
        <w:t>**Silence criminel** — aujourd'hui, face à une dictature pire</w:t>
      </w:r>
    </w:p>
    <w:p>
      <w:pPr>
        <w:pStyle w:val="Listepuces"/>
      </w:pPr>
      <w:r>
        <w:rPr>
          <w:rFonts w:ascii="FreeSerif" w:hAnsi="FreeSerif"/>
          <w:sz w:val="21"/>
        </w:rPr>
        <w:t>**Destruction de la société ivoirienne** — les Ivoiriens sont devenus « bêtes » par peur</w:t>
      </w:r>
    </w:p>
    <w:p>
      <w:pPr>
        <w:pStyle w:val="Listepuces"/>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before="200" w:after="60"/>
        <w:pBdr>
          <w:bottom w:val="single" w:sz="7" w:space="3" w:color="A07820"/>
        </w:pBdr>
      </w:pPr>
      <w:r>
        <w:rPr>
          <w:rFonts w:ascii="FreeSerif" w:hAnsi="FreeSerif"/>
          <w:b/>
          <w:color w:val="2C3A4A"/>
          <w:sz w:val="23"/>
        </w:rPr>
        <w:t>XII. 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epuces"/>
      </w:pPr>
      <w:r>
        <w:rPr>
          <w:rFonts w:ascii="FreeSerif" w:hAnsi="FreeSerif"/>
          <w:sz w:val="21"/>
        </w:rPr>
        <w:t>**Jamais eu tort** — tous ses appels politiques se sont avérés exacts</w:t>
      </w:r>
    </w:p>
    <w:p>
      <w:pPr>
        <w:pStyle w:val="Listepuces"/>
      </w:pPr>
      <w:r>
        <w:rPr>
          <w:rFonts w:ascii="FreeSerif" w:hAnsi="FreeSerif"/>
          <w:sz w:val="21"/>
        </w:rPr>
        <w:t>**Toujours dans la vérité** — même si cela lui coûte des amis et des contacts</w:t>
      </w:r>
    </w:p>
    <w:p>
      <w:pPr>
        <w:pStyle w:val="Listepuces"/>
      </w:pPr>
      <w:r>
        <w:rPr>
          <w:rFonts w:ascii="FreeSerif" w:hAnsi="FreeSerif"/>
          <w:sz w:val="21"/>
        </w:rPr>
        <w:t>**Prêt à être confondu** — mais il demande à Soro de le prouver</w:t>
      </w:r>
    </w:p>
    <w:p>
      <w:pPr>
        <w:pStyle w:val="Listepuces"/>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w:t>
      </w:r>
    </w:p>
    <w:p>
      <w:pPr>
        <w:spacing w:after="80"/>
      </w:pPr>
      <w:r>
        <w:rPr>
          <w:rFonts w:ascii="FreeSerif" w:hAnsi="FreeSerif"/>
          <w:sz w:val="22"/>
        </w:rPr>
        <w:t>À rapprocher de : Chapitre 55 — Côte d'Ivoire : Guillaume Soro s'explique (Hermann le Patriote) ; Chapitre 54 — Libye : les câbles Clinton.</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