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Matingé,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Matingé résume la doctrine: «Les terroristes sont nos hommes politiques de demain.» Si le schéma tient, le JNIM est le candidat malien au même recyclage.</w:t>
      </w:r>
    </w:p>
    <w:p>
      <w:r>
        <w:t>La question du financement de ces prises de position publiques est posée explicitement. Matingé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Matingé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r>
        <w:t>Voilà donc l'environnement dans lequel l'alliance doit survivre: un Tchad sous double tutelle, une Algérie qui tire sur ses drones, une Mauritanie qui héberge ses ennemis en monétisant son gaz, des Émirats qui industrialisent la déstabilisation.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Batenguène,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