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60"/>
        <w:ind w:firstLine="567"/>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after="60"/>
        <w:ind w:firstLine="567"/>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60"/>
        <w:ind w:firstLine="567"/>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60"/>
        <w:ind w:firstLine="567"/>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60"/>
        <w:ind w:firstLine="567"/>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60"/>
        <w:ind w:firstLine="567"/>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60"/>
        <w:ind w:firstLine="567"/>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n'est pas</w:t>
      </w:r>
    </w:p>
    <w:p>
      <w:pPr>
        <w:spacing w:after="6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60"/>
        <w:ind w:firstLine="567"/>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after="60"/>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60"/>
        <w:ind w:firstLine="567"/>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livre couvre — et pourquoi</w:t>
      </w:r>
    </w:p>
    <w:p>
      <w:pPr>
        <w:spacing w:after="60"/>
      </w:pPr>
      <w:r>
        <w:rPr>
          <w:rFonts w:ascii="FreeSerif" w:hAnsi="FreeSerif"/>
          <w:sz w:val="22"/>
        </w:rPr>
        <w:t>Ce livre est né d'une question localisée — pourquoi l'AES, pourquoi maintenant, pourquoi ça tient. Il s'est élargi à mesure que les réponses se connectaient les unes aux autres. Car la rupture sahélienne ne se comprend pas sans la Libye de Kadhafi — pays africain le plus développé sur 16 indicateurs, détruit en 2011 non pour protéger des civils mais pour éliminer un contre-exemple souverain. Elle ne se comprend pas sans Thiaroye 1944 — 300 à 400 tirailleurs africains qui avaient libéré la France et furent massacrés par elle quand ils réclamèrent leurs pécules de captivité, archives verrouillées 80 ans. Elle ne se comprend pas sans le FCFA — mécanisme par lequel la Banque de France imprime la monnaie qui paye les terroristes, rendant la déstabilisation du Sahel gratuite en devises réelles. Elle ne se comprend pas sans l'IPN Farafina — l'Institut des Peuples Noirs que Sankara fonda en 1986, qu'on éteignit après son assassinat, et qu'Ibrahim Traoré a ressuscité en 2025 parce qu'on ne tue pas une idée juste.</w:t>
      </w:r>
    </w:p>
    <w:p>
      <w:pPr>
        <w:spacing w:after="60"/>
        <w:ind w:firstLine="567"/>
      </w:pPr>
      <w:r>
        <w:rPr>
          <w:rFonts w:ascii="FreeSerif" w:hAnsi="FreeSerif"/>
          <w:sz w:val="22"/>
        </w:rPr>
        <w:t>Ce livre ne prétend pas l'exhaustivité. Il prétend à la cohérence : les mêmes causes produisent les mêmes effets, et les mêmes systèmes produisent les mêmes résistances.</w:t>
      </w:r>
    </w:p>
    <w:p>
      <w:pPr>
        <w:spacing w:before="280" w:after="120"/>
        <w:pBdr>
          <w:bottom w:val="single" w:sz="7" w:space="3" w:color="A07820"/>
        </w:pBdr>
      </w:pPr>
      <w:r>
        <w:rPr>
          <w:rFonts w:ascii="FreeSerif" w:hAnsi="FreeSerif"/>
          <w:b/>
          <w:color w:val="2C3A4A"/>
          <w:sz w:val="22"/>
        </w:rPr>
        <w:t>La méthode de ce livre</w:t>
      </w:r>
    </w:p>
    <w:p>
      <w:pPr>
        <w:spacing w:after="6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60"/>
        <w:ind w:firstLine="567"/>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60"/>
        <w:ind w:firstLine="567"/>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60"/>
        <w:ind w:firstLine="567"/>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au contraire,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60"/>
        <w:ind w:firstLine="567"/>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after="60"/>
        <w:ind w:firstLine="567"/>
      </w:pPr>
      <w:r>
        <w:rPr>
          <w:rFonts w:ascii="FreeSerif" w:hAnsi="FreeSerif"/>
          <w:sz w:val="22"/>
        </w:rPr>
        <w:t>Ces empires sont absents des manuels scolaires africains postcoloniaux, rédigés sur le modèle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Date</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Étape</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Élément</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0,80 €/kg</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200 $/kg</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Niveau</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Terme officiel</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Projet</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n'est pas une preuve de légitimité. C'est une preuve d'injustice institutionnalisée.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Grief</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Dispositif</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w:t>
      </w:r>
    </w:p>
    <w:p>
      <w:pPr>
        <w:spacing w:after="60"/>
        <w:ind w:firstLine="567"/>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60"/>
        <w:ind w:firstLine="567"/>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60"/>
        <w:ind w:firstLine="567"/>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60"/>
        <w:ind w:firstLine="567"/>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60"/>
        <w:ind w:firstLine="567"/>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Donateur / année</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Dimension</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pPr>
              <w:jc w:val="right"/>
            </w:pPr>
            <w:r>
              <w:rPr>
                <w:rFonts w:ascii="FreeSerif" w:hAnsi="FreeSerif"/>
                <w:i/>
                <w:color w:val="2C3A4A"/>
                <w:sz w:val="18"/>
              </w:rPr>
              <w:t>Fait documenté</w:t>
            </w:r>
          </w:p>
        </w:tc>
        <w:tc>
          <w:tcPr>
            <w:tcW w:type="dxa" w:w="4677"/>
            <w:tcBorders>
              <w:right w:val="none" w:sz="0" w:space="0" w:color="auto"/>
              <w:left w:val="none" w:sz="0" w:space="0" w:color="auto"/>
              <w:top w:val="none" w:sz="0" w:space="0" w:color="auto"/>
              <w:bottom w:val="none" w:sz="0" w:space="0" w:color="auto"/>
              <w:insideH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bottom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right w:val="none" w:sz="0" w:space="0" w:color="auto"/>
              <w:top w:val="none" w:sz="0" w:space="0" w:color="auto"/>
              <w:bottom w:val="none" w:sz="0" w:space="0" w:color="auto"/>
              <w:insideV w:val="none" w:sz="0" w:space="0" w:color="auto"/>
              <w:insideH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n'est pas un slogan. C'est une organisation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