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before="120" w:after="120"/>
        <w:pBdr>
          <w:bottom w:val="single" w:sz="3" w:space="2" w:color="A07820"/>
        </w:pBdr>
      </w:pP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before="120" w:after="120"/>
        <w:pBdr>
          <w:bottom w:val="single" w:sz="3" w:space="2" w:color="A07820"/>
        </w:pBdr>
      </w:pP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before="120" w:after="120"/>
        <w:pBdr>
          <w:bottom w:val="single" w:sz="3" w:space="2" w:color="A07820"/>
        </w:pBdr>
      </w:pPr>
    </w:p>
    <w:p>
      <w:pPr>
        <w:spacing w:after="60"/>
        <w:ind w:firstLine="567"/>
      </w:pPr>
      <w:r>
        <w:rPr>
          <w:rFonts w:ascii="FreeSerif" w:hAnsi="FreeSerif"/>
          <w:sz w:val="22"/>
        </w:rPr>
        <w:t xml:space="preserve">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before="120" w:after="120"/>
        <w:pBdr>
          <w:bottom w:val="single" w:sz="3" w:space="2" w:color="A07820"/>
        </w:pBdr>
      </w:pPr>
    </w:p>
    <w:p>
      <w:pPr>
        <w:spacing w:after="60"/>
        <w:ind w:firstLine="567"/>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before="120" w:after="120"/>
        <w:pBdr>
          <w:bottom w:val="single" w:sz="3" w:space="2" w:color="A07820"/>
        </w:pBdr>
      </w:pP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n'est pas un oubli. C'est une décision.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Date</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before="120" w:after="120"/>
        <w:pBdr>
          <w:bottom w:val="single" w:sz="3" w:space="2" w:color="A07820"/>
        </w:pBdr>
      </w:pP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n'est pas un dérapage. C'est une doctrine.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n'est pas un fait divers historique. C'est l'un des nœuds du contentieux franco-africain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 n'est pas de l'anti-France. C'est de la comptabilité élémentaire.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before="120" w:after="120"/>
        <w:pBdr>
          <w:bottom w:val="single" w:sz="3" w:space="2" w:color="A07820"/>
        </w:pBdr>
      </w:pP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before="120" w:after="120"/>
        <w:pBdr>
          <w:bottom w:val="single" w:sz="3" w:space="2" w:color="A07820"/>
        </w:pBdr>
      </w:pP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Étape</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before="120" w:after="120"/>
        <w:pBdr>
          <w:bottom w:val="single" w:sz="3" w:space="2" w:color="A07820"/>
        </w:pBdr>
      </w:pP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Élément</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before="120" w:after="120"/>
        <w:pBdr>
          <w:bottom w:val="single" w:sz="3" w:space="2" w:color="A07820"/>
        </w:pBdr>
      </w:pP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120" w:after="120"/>
        <w:pBdr>
          <w:bottom w:val="single" w:sz="3" w:space="2" w:color="A07820"/>
        </w:pBdr>
      </w:pP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120" w:after="120"/>
        <w:pBdr>
          <w:bottom w:val="single" w:sz="3" w:space="2" w:color="A07820"/>
        </w:pBdr>
      </w:pP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120" w:after="120"/>
        <w:pBdr>
          <w:bottom w:val="single" w:sz="3" w:space="2" w:color="A07820"/>
        </w:pBdr>
      </w:pP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120" w:after="120"/>
        <w:pBdr>
          <w:bottom w:val="single" w:sz="3" w:space="2" w:color="A07820"/>
        </w:pBdr>
      </w:pP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before="120" w:after="120"/>
        <w:pBdr>
          <w:bottom w:val="single" w:sz="3" w:space="2" w:color="A07820"/>
        </w:pBdr>
      </w:pPr>
    </w:p>
    <w:p>
      <w:pPr>
        <w:spacing w:after="60"/>
        <w:ind w:firstLine="567"/>
      </w:pPr>
      <w:r>
        <w:rPr>
          <w:rFonts w:ascii="FreeSerif" w:hAnsi="FreeSerif"/>
          <w:i/>
          <w:sz w:val="22"/>
        </w:rPr>
        <w:t>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Indicateur</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20 %</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0,80 €/kg</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200 $/kg</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 n'est pas une coïncidence géographique. C'est une méthode.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before="120" w:after="120"/>
        <w:pBdr>
          <w:bottom w:val="single" w:sz="3" w:space="2" w:color="A07820"/>
        </w:pBdr>
      </w:pPr>
    </w:p>
    <w:p>
      <w:pPr>
        <w:spacing w:after="60"/>
        <w:ind w:firstLine="567"/>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before="120" w:after="120"/>
        <w:pBdr>
          <w:bottom w:val="single" w:sz="3" w:space="2" w:color="A07820"/>
        </w:pBdr>
      </w:pP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before="120" w:after="120"/>
        <w:pBdr>
          <w:bottom w:val="single" w:sz="3" w:space="2" w:color="A07820"/>
        </w:pBdr>
      </w:pP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before="120" w:after="120"/>
        <w:pBdr>
          <w:bottom w:val="single" w:sz="3" w:space="2" w:color="A07820"/>
        </w:pBdr>
      </w:pP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Niveau</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Terme officiel</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Indicateur</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before="120" w:after="120"/>
        <w:pBdr>
          <w:bottom w:val="single" w:sz="3" w:space="2" w:color="A07820"/>
        </w:pBdr>
      </w:pP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Projet</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Ce qui s'est déversé vers le Sahel</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before="120" w:after="120"/>
        <w:pBdr>
          <w:bottom w:val="single" w:sz="3" w:space="2" w:color="A07820"/>
        </w:pBdr>
      </w:pP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120" w:after="120"/>
        <w:pBdr>
          <w:bottom w:val="single" w:sz="3" w:space="2" w:color="A07820"/>
        </w:pBdr>
      </w:pP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120" w:after="120"/>
        <w:pBdr>
          <w:bottom w:val="single" w:sz="3" w:space="2" w:color="A07820"/>
        </w:pBdr>
      </w:pP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120" w:after="120"/>
        <w:pBdr>
          <w:bottom w:val="single" w:sz="3" w:space="2" w:color="A07820"/>
        </w:pBdr>
      </w:pP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120" w:after="120"/>
        <w:pBdr>
          <w:bottom w:val="single" w:sz="3" w:space="2" w:color="A07820"/>
        </w:pBdr>
      </w:pP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120" w:after="120"/>
        <w:pBdr>
          <w:bottom w:val="single" w:sz="3" w:space="2" w:color="A07820"/>
        </w:pBdr>
      </w:pP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before="120" w:after="120"/>
        <w:pBdr>
          <w:bottom w:val="single" w:sz="3" w:space="2" w:color="A07820"/>
        </w:pBdr>
      </w:pP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before="120" w:after="120"/>
        <w:pBdr>
          <w:bottom w:val="single" w:sz="3" w:space="2" w:color="A07820"/>
        </w:pBdr>
      </w:pP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before="120" w:after="120"/>
        <w:pBdr>
          <w:bottom w:val="single" w:sz="3" w:space="2" w:color="A07820"/>
        </w:pBdr>
      </w:pP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Réalité des corridors transsahariens</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before="120" w:after="120"/>
        <w:pBdr>
          <w:bottom w:val="single" w:sz="3" w:space="2" w:color="A07820"/>
        </w:pBdr>
      </w:pP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before="120" w:after="120"/>
        <w:pBdr>
          <w:bottom w:val="single" w:sz="3" w:space="2" w:color="A07820"/>
        </w:pBdr>
      </w:pP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120" w:after="120"/>
        <w:pBdr>
          <w:bottom w:val="single" w:sz="3" w:space="2" w:color="A07820"/>
        </w:pBdr>
      </w:pP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 n'est pas une migration spontanée. C'est une opération de transfert — organisée, logistiquée, orientée.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120" w:after="120"/>
        <w:pBdr>
          <w:bottom w:val="single" w:sz="3" w:space="2" w:color="A07820"/>
        </w:pBdr>
      </w:pP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120" w:after="120"/>
        <w:pBdr>
          <w:bottom w:val="single" w:sz="3" w:space="2" w:color="A07820"/>
        </w:pBdr>
      </w:pP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120" w:after="120"/>
        <w:pBdr>
          <w:bottom w:val="single" w:sz="3" w:space="2" w:color="A07820"/>
        </w:pBdr>
      </w:pP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120" w:after="120"/>
        <w:pBdr>
          <w:bottom w:val="single" w:sz="3" w:space="2" w:color="A07820"/>
        </w:pBdr>
      </w:pP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before="120" w:after="120"/>
        <w:pBdr>
          <w:bottom w:val="single" w:sz="3" w:space="2" w:color="A07820"/>
        </w:pBdr>
      </w:pP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Indicateur</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before="120" w:after="120"/>
        <w:pBdr>
          <w:bottom w:val="single" w:sz="3" w:space="2" w:color="A07820"/>
        </w:pBdr>
      </w:pP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before="120" w:after="120"/>
        <w:pBdr>
          <w:bottom w:val="single" w:sz="3" w:space="2" w:color="A07820"/>
        </w:pBdr>
      </w:pP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before="120" w:after="120"/>
        <w:pBdr>
          <w:bottom w:val="single" w:sz="3" w:space="2" w:color="A07820"/>
        </w:pBdr>
      </w:pP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before="120" w:after="120"/>
        <w:pBdr>
          <w:bottom w:val="single" w:sz="3" w:space="2" w:color="A07820"/>
        </w:pBdr>
      </w:pP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120" w:after="120"/>
        <w:pBdr>
          <w:bottom w:val="single" w:sz="3" w:space="2" w:color="A07820"/>
        </w:pBdr>
      </w:pP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120" w:after="120"/>
        <w:pBdr>
          <w:bottom w:val="single" w:sz="3" w:space="2" w:color="A07820"/>
        </w:pBdr>
      </w:pP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120" w:after="120"/>
        <w:pBdr>
          <w:bottom w:val="single" w:sz="3" w:space="2" w:color="A07820"/>
        </w:pBdr>
      </w:pP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120" w:after="120"/>
        <w:pBdr>
          <w:bottom w:val="single" w:sz="3" w:space="2" w:color="A07820"/>
        </w:pBdr>
      </w:pP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before="120" w:after="120"/>
        <w:pBdr>
          <w:bottom w:val="single" w:sz="3" w:space="2" w:color="A07820"/>
        </w:pBdr>
      </w:pP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120" w:after="120"/>
        <w:pBdr>
          <w:bottom w:val="single" w:sz="3" w:space="2" w:color="A07820"/>
        </w:pBdr>
      </w:pP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120" w:after="120"/>
        <w:pBdr>
          <w:bottom w:val="single" w:sz="3" w:space="2" w:color="A07820"/>
        </w:pBdr>
      </w:pP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120" w:after="120"/>
        <w:pBdr>
          <w:bottom w:val="single" w:sz="3" w:space="2" w:color="A07820"/>
        </w:pBdr>
      </w:pP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120" w:after="120"/>
        <w:pBdr>
          <w:bottom w:val="single" w:sz="3" w:space="2" w:color="A07820"/>
        </w:pBdr>
      </w:pP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120" w:after="120"/>
        <w:pBdr>
          <w:bottom w:val="single" w:sz="3" w:space="2" w:color="A07820"/>
        </w:pBdr>
      </w:pP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120" w:after="120"/>
        <w:pBdr>
          <w:bottom w:val="single" w:sz="3" w:space="2" w:color="A07820"/>
        </w:pBdr>
      </w:pP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120" w:after="120"/>
        <w:pBdr>
          <w:bottom w:val="single" w:sz="3" w:space="2" w:color="A07820"/>
        </w:pBdr>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before="120" w:after="120"/>
        <w:pBdr>
          <w:bottom w:val="single" w:sz="3" w:space="2" w:color="A07820"/>
        </w:pBdr>
      </w:pP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before="120" w:after="120"/>
        <w:pBdr>
          <w:bottom w:val="single" w:sz="3" w:space="2" w:color="A07820"/>
        </w:pBdr>
      </w:pP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before="120" w:after="120"/>
        <w:pBdr>
          <w:bottom w:val="single" w:sz="3" w:space="2" w:color="A07820"/>
        </w:pBdr>
      </w:pP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120" w:after="120"/>
        <w:pBdr>
          <w:bottom w:val="single" w:sz="3" w:space="2" w:color="A07820"/>
        </w:pBdr>
      </w:pP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120" w:after="120"/>
        <w:pBdr>
          <w:bottom w:val="single" w:sz="3" w:space="2" w:color="A07820"/>
        </w:pBdr>
      </w:pP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120" w:after="120"/>
        <w:pBdr>
          <w:bottom w:val="single" w:sz="3" w:space="2" w:color="A07820"/>
        </w:pBdr>
      </w:pP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120" w:after="120"/>
        <w:pBdr>
          <w:bottom w:val="single" w:sz="3" w:space="2" w:color="A07820"/>
        </w:pBdr>
      </w:pP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120" w:after="120"/>
        <w:pBdr>
          <w:bottom w:val="single" w:sz="3" w:space="2" w:color="A07820"/>
        </w:pBdr>
      </w:pP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120" w:after="120"/>
        <w:pBdr>
          <w:bottom w:val="single" w:sz="3" w:space="2" w:color="A07820"/>
        </w:pBdr>
      </w:pP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120" w:after="120"/>
        <w:pBdr>
          <w:bottom w:val="single" w:sz="3" w:space="2" w:color="A07820"/>
        </w:pBdr>
      </w:pP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120" w:after="120"/>
        <w:pBdr>
          <w:bottom w:val="single" w:sz="3" w:space="2" w:color="A07820"/>
        </w:pBdr>
      </w:pP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120" w:after="120"/>
        <w:pBdr>
          <w:bottom w:val="single" w:sz="3" w:space="2" w:color="A07820"/>
        </w:pBdr>
      </w:pP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120" w:after="120"/>
        <w:pBdr>
          <w:bottom w:val="single" w:sz="3" w:space="2" w:color="A07820"/>
        </w:pBdr>
      </w:pP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120" w:after="120"/>
        <w:pBdr>
          <w:bottom w:val="single" w:sz="3" w:space="2" w:color="A07820"/>
        </w:pBdr>
      </w:pP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after="120"/>
        <w:pBdr>
          <w:bottom w:val="single" w:sz="3" w:space="2" w:color="A07820"/>
        </w:pBdr>
      </w:pP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n'est pas une preuve de légitimité. C'est une preuve d'injustice institutionnalisée.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20" w:after="120"/>
        <w:pBdr>
          <w:bottom w:val="single" w:sz="3" w:space="2" w:color="A07820"/>
        </w:pBdr>
      </w:pPr>
    </w:p>
    <w:p>
      <w:pPr>
        <w:spacing w:after="60"/>
        <w:ind w:firstLine="567"/>
      </w:pPr>
      <w:r>
        <w:rPr>
          <w:rFonts w:ascii="FreeSerif" w:hAnsi="FreeSerif"/>
          <w:i/>
          <w:sz w:val="22"/>
        </w:rPr>
        <w:t>PARTIE IV — LA RÉVOLUTION DE LA SOUVERAINETÉ</w:t>
      </w:r>
    </w:p>
    <w:p>
      <w:pPr>
        <w:spacing w:before="120" w:after="120"/>
        <w:pBdr>
          <w:bottom w:val="single" w:sz="3" w:space="2" w:color="A07820"/>
        </w:pBdr>
      </w:pP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before="120" w:after="120"/>
        <w:pBdr>
          <w:bottom w:val="single" w:sz="3" w:space="2" w:color="A07820"/>
        </w:pBdr>
      </w:pP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 n'est pas un lapsus. C'est le programme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before="120" w:after="120"/>
        <w:pBdr>
          <w:bottom w:val="single" w:sz="3" w:space="2" w:color="A07820"/>
        </w:pBdr>
      </w:pP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Grief</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before="120" w:after="120"/>
        <w:pBdr>
          <w:bottom w:val="single" w:sz="3" w:space="2" w:color="A07820"/>
        </w:pBdr>
      </w:pP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120" w:after="120"/>
        <w:pBdr>
          <w:bottom w:val="single" w:sz="3" w:space="2" w:color="A07820"/>
        </w:pBdr>
      </w:pP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120" w:after="120"/>
        <w:pBdr>
          <w:bottom w:val="single" w:sz="3" w:space="2" w:color="A07820"/>
        </w:pBdr>
      </w:pP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120" w:after="120"/>
        <w:pBdr>
          <w:bottom w:val="single" w:sz="3" w:space="2" w:color="A07820"/>
        </w:pBdr>
      </w:pP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120" w:after="120"/>
        <w:pBdr>
          <w:bottom w:val="single" w:sz="3" w:space="2" w:color="A07820"/>
        </w:pBdr>
      </w:pP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120" w:after="120"/>
        <w:pBdr>
          <w:bottom w:val="single" w:sz="3" w:space="2" w:color="A07820"/>
        </w:pBdr>
      </w:pP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n'est pas un slogan. C'est une organisation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before="120" w:after="120"/>
        <w:pBdr>
          <w:bottom w:val="single" w:sz="3" w:space="2" w:color="A07820"/>
        </w:pBdr>
      </w:pP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before="120" w:after="120"/>
        <w:pBdr>
          <w:bottom w:val="single" w:sz="3" w:space="2" w:color="A07820"/>
        </w:pBdr>
      </w:pP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Dispositif</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before="120" w:after="120"/>
        <w:pBdr>
          <w:bottom w:val="single" w:sz="3" w:space="2" w:color="A07820"/>
        </w:pBdr>
      </w:pP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before="120" w:after="120"/>
        <w:pBdr>
          <w:bottom w:val="single" w:sz="3" w:space="2" w:color="A07820"/>
        </w:pBdr>
      </w:pP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120" w:after="120"/>
        <w:pBdr>
          <w:bottom w:val="single" w:sz="3" w:space="2" w:color="A07820"/>
        </w:pBdr>
      </w:pP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120" w:after="120"/>
        <w:pBdr>
          <w:bottom w:val="single" w:sz="3" w:space="2" w:color="A07820"/>
        </w:pBdr>
      </w:pP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120" w:after="120"/>
        <w:pBdr>
          <w:bottom w:val="single" w:sz="3" w:space="2" w:color="A07820"/>
        </w:pBdr>
      </w:pP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120" w:after="120"/>
        <w:pBdr>
          <w:bottom w:val="single" w:sz="3" w:space="2" w:color="A07820"/>
        </w:pBdr>
      </w:pP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120" w:after="120"/>
        <w:pBdr>
          <w:bottom w:val="single" w:sz="3" w:space="2" w:color="A07820"/>
        </w:pBdr>
      </w:pP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before="120" w:after="120"/>
        <w:pBdr>
          <w:bottom w:val="single" w:sz="3" w:space="2" w:color="A07820"/>
        </w:pBdr>
      </w:pP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before="120" w:after="120"/>
        <w:pBdr>
          <w:bottom w:val="single" w:sz="3" w:space="2" w:color="A07820"/>
        </w:pBdr>
      </w:pP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before="120" w:after="120"/>
        <w:pBdr>
          <w:bottom w:val="single" w:sz="3" w:space="2" w:color="A07820"/>
        </w:pBdr>
      </w:pP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 n'est pas une coïncidence. C'est un précédent. La RCA naît orpheline de son fondateur, et la France ne la lâchera jamais sans résistance. Un leader africain qui pense à l'échelle continentale est une menace existentielle pour le système. On l'élimine avant qu'il gouverne.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120" w:after="120"/>
        <w:pBdr>
          <w:bottom w:val="single" w:sz="3" w:space="2" w:color="A07820"/>
        </w:pBdr>
      </w:pPr>
    </w:p>
    <w:p>
      <w:pPr>
        <w:spacing w:after="60"/>
        <w:ind w:firstLine="567"/>
      </w:pPr>
      <w:r>
        <w:rPr>
          <w:rFonts w:ascii="FreeSerif" w:hAnsi="FreeSerif"/>
          <w:sz w:val="22"/>
        </w:rPr>
        <w:t>PARTIE V — LE RÉVEIL PANAFRICAIN</w:t>
      </w:r>
    </w:p>
    <w:p>
      <w:pPr>
        <w:spacing w:before="120" w:after="120"/>
        <w:pBdr>
          <w:bottom w:val="single" w:sz="3" w:space="2" w:color="A07820"/>
        </w:pBdr>
      </w:pP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before="120" w:after="120"/>
        <w:pBdr>
          <w:bottom w:val="single" w:sz="3" w:space="2" w:color="A07820"/>
        </w:pBdr>
      </w:pP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120" w:after="120"/>
        <w:pBdr>
          <w:bottom w:val="single" w:sz="3" w:space="2" w:color="A07820"/>
        </w:pBdr>
      </w:pP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n'est pas un outil de développement. C'est un outil d'extraction — au bénéfice de ceux qui la financent depuis l'extérieur, et de ceux qui en vivent à l'intérieur.</w:t>
      </w:r>
    </w:p>
    <w:p>
      <w:pPr>
        <w:spacing w:before="120" w:after="120"/>
        <w:pBdr>
          <w:bottom w:val="single" w:sz="3" w:space="2" w:color="A07820"/>
        </w:pBdr>
      </w:pP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120" w:after="120"/>
        <w:pBdr>
          <w:bottom w:val="single" w:sz="3" w:space="2" w:color="A07820"/>
        </w:pBdr>
      </w:pP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n'est pas une opposition. C'est une concurrence pour le pouvoir sans projet pour le peuple.</w:t>
      </w:r>
    </w:p>
    <w:p>
      <w:pPr>
        <w:spacing w:before="120" w:after="120"/>
        <w:pBdr>
          <w:bottom w:val="single" w:sz="3" w:space="2" w:color="A07820"/>
        </w:pBdr>
      </w:pP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120" w:after="120"/>
        <w:pBdr>
          <w:bottom w:val="single" w:sz="3" w:space="2" w:color="A07820"/>
        </w:pBdr>
      </w:pP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 n'est pas de la colère. C'est de l'exigence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before="120" w:after="120"/>
        <w:pBdr>
          <w:bottom w:val="single" w:sz="3" w:space="2" w:color="A07820"/>
        </w:pBdr>
      </w:pP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120" w:after="120"/>
        <w:pBdr>
          <w:bottom w:val="single" w:sz="3" w:space="2" w:color="A07820"/>
        </w:pBdr>
      </w:pP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120" w:after="120"/>
        <w:pBdr>
          <w:bottom w:val="single" w:sz="3" w:space="2" w:color="A07820"/>
        </w:pBdr>
      </w:pP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120" w:after="120"/>
        <w:pBdr>
          <w:bottom w:val="single" w:sz="3" w:space="2" w:color="A07820"/>
        </w:pBdr>
      </w:pP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before="120" w:after="120"/>
        <w:pBdr>
          <w:bottom w:val="single" w:sz="3" w:space="2" w:color="A07820"/>
        </w:pBdr>
      </w:pP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120" w:after="120"/>
        <w:pBdr>
          <w:bottom w:val="single" w:sz="3" w:space="2" w:color="A07820"/>
        </w:pBdr>
      </w:pP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120" w:after="120"/>
        <w:pBdr>
          <w:bottom w:val="single" w:sz="3" w:space="2" w:color="A07820"/>
        </w:pBdr>
      </w:pP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120" w:after="120"/>
        <w:pBdr>
          <w:bottom w:val="single" w:sz="3" w:space="2" w:color="A07820"/>
        </w:pBdr>
      </w:pP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120" w:after="120"/>
        <w:pBdr>
          <w:bottom w:val="single" w:sz="3" w:space="2" w:color="A07820"/>
        </w:pBdr>
      </w:pP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before="120" w:after="120"/>
        <w:pBdr>
          <w:bottom w:val="single" w:sz="3" w:space="2" w:color="A07820"/>
        </w:pBdr>
      </w:pP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120" w:after="120"/>
        <w:pBdr>
          <w:bottom w:val="single" w:sz="3" w:space="2" w:color="A07820"/>
        </w:pBdr>
      </w:pP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120" w:after="120"/>
        <w:pBdr>
          <w:bottom w:val="single" w:sz="3" w:space="2" w:color="A07820"/>
        </w:pBdr>
      </w:pP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120" w:after="120"/>
        <w:pBdr>
          <w:bottom w:val="single" w:sz="3" w:space="2" w:color="A07820"/>
        </w:pBdr>
      </w:pP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120" w:after="120"/>
        <w:pBdr>
          <w:bottom w:val="single" w:sz="3" w:space="2" w:color="A07820"/>
        </w:pBdr>
      </w:pP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120" w:after="120"/>
        <w:pBdr>
          <w:bottom w:val="single" w:sz="3" w:space="2" w:color="A07820"/>
        </w:pBdr>
      </w:pP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before="120" w:after="120"/>
        <w:pBdr>
          <w:bottom w:val="single" w:sz="3" w:space="2" w:color="A07820"/>
        </w:pBdr>
      </w:pP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before="120" w:after="120"/>
        <w:pBdr>
          <w:bottom w:val="single" w:sz="3" w:space="2" w:color="A07820"/>
        </w:pBdr>
      </w:pP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before="120" w:after="120"/>
        <w:pBdr>
          <w:bottom w:val="single" w:sz="3" w:space="2" w:color="A07820"/>
        </w:pBdr>
      </w:pP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before="120" w:after="120"/>
        <w:pBdr>
          <w:bottom w:val="single" w:sz="3" w:space="2" w:color="A07820"/>
        </w:pBdr>
      </w:pP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before="120" w:after="120"/>
        <w:pBdr>
          <w:bottom w:val="single" w:sz="3" w:space="2" w:color="A07820"/>
        </w:pBdr>
      </w:pP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before="120" w:after="120"/>
        <w:pBdr>
          <w:bottom w:val="single" w:sz="3" w:space="2" w:color="A07820"/>
        </w:pBdr>
      </w:pP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 n'est pas une simple renaissance institutionnelle. C'est la réactivation d'une doctrine.</w:t>
      </w:r>
    </w:p>
    <w:p>
      <w:pPr>
        <w:spacing w:before="120" w:after="120"/>
        <w:pBdr>
          <w:bottom w:val="single" w:sz="3" w:space="2" w:color="A07820"/>
        </w:pBdr>
      </w:pP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120" w:after="120"/>
        <w:pBdr>
          <w:bottom w:val="single" w:sz="3" w:space="2" w:color="A07820"/>
        </w:pBdr>
      </w:pP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120" w:after="120"/>
        <w:pBdr>
          <w:bottom w:val="single" w:sz="3" w:space="2" w:color="A07820"/>
        </w:pBdr>
      </w:pP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120" w:after="120"/>
        <w:pBdr>
          <w:bottom w:val="single" w:sz="3" w:space="2" w:color="A07820"/>
        </w:pBdr>
      </w:pP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120" w:after="120"/>
        <w:pBdr>
          <w:bottom w:val="single" w:sz="3" w:space="2" w:color="A07820"/>
        </w:pBdr>
      </w:pP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before="120" w:after="120"/>
        <w:pBdr>
          <w:bottom w:val="single" w:sz="3" w:space="2" w:color="A07820"/>
        </w:pBdr>
      </w:pP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before="120" w:after="120"/>
        <w:pBdr>
          <w:bottom w:val="single" w:sz="3" w:space="2" w:color="A07820"/>
        </w:pBdr>
      </w:pPr>
    </w:p>
    <w:p>
      <w:pPr>
        <w:spacing w:after="60"/>
        <w:ind w:firstLine="567"/>
      </w:pPr>
      <w:r>
        <w:rPr>
          <w:rFonts w:ascii="FreeSerif" w:hAnsi="FreeSerif"/>
          <w:sz w:val="22"/>
        </w:rPr>
        <w:t>PARTIE VI — LES DÉFIS DE DEMAIN</w:t>
      </w:r>
    </w:p>
    <w:p>
      <w:pPr>
        <w:spacing w:before="120" w:after="120"/>
        <w:pBdr>
          <w:bottom w:val="single" w:sz="3" w:space="2" w:color="A07820"/>
        </w:pBdr>
      </w:pP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Donateur / année</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Dimension</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29 — Le Monde Multipolaire: Partenaires Ou Nouveaux Maîtres?</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Indicateur</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85 %</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11 %</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pPr>
              <w:jc w:val="right"/>
            </w:pPr>
            <w:r>
              <w:rPr>
                <w:rFonts w:ascii="FreeSerif" w:hAnsi="FreeSerif"/>
                <w:i/>
                <w:color w:val="2C3A4A"/>
                <w:sz w:val="18"/>
              </w:rPr>
              <w:t>Fait documenté</w:t>
            </w:r>
          </w:p>
        </w:tc>
        <w:tc>
          <w:tcPr>
            <w:tcW w:type="dxa" w:w="4677"/>
            <w:tcBorders>
              <w:left w:val="none" w:sz="0" w:space="0" w:color="auto"/>
              <w:bottom w:val="none" w:sz="0" w:space="0" w:color="auto"/>
              <w:insideV w:val="none" w:sz="0" w:space="0" w:color="auto"/>
              <w:top w:val="none" w:sz="0" w:space="0" w:color="auto"/>
              <w:right w:val="none" w:sz="0" w:space="0" w:color="auto"/>
              <w:insideH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left w:val="none" w:sz="0" w:space="0" w:color="auto"/>
              <w:insideV w:val="none" w:sz="0" w:space="0" w:color="auto"/>
              <w:insideH w:val="none" w:sz="0" w:space="0" w:color="auto"/>
              <w:bottom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insideV w:val="none" w:sz="0" w:space="0" w:color="auto"/>
              <w:insideH w:val="none" w:sz="0" w:space="0" w:color="auto"/>
              <w:bottom w:val="none" w:sz="0" w:space="0" w:color="auto"/>
              <w:top w:val="none" w:sz="0" w:space="0" w:color="auto"/>
              <w:right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 n'est pas une théorie du complot. C'est un document déclassifié.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before="120" w:after="120"/>
        <w:pBdr>
          <w:bottom w:val="single" w:sz="3" w:space="2" w:color="A07820"/>
        </w:pBdr>
      </w:pP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péripétie régionale.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120" w:after="120"/>
        <w:pBdr>
          <w:bottom w:val="single" w:sz="3" w:space="2" w:color="A07820"/>
        </w:pBdr>
      </w:pP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120" w:after="120"/>
        <w:pBdr>
          <w:bottom w:val="single" w:sz="3" w:space="2" w:color="A07820"/>
        </w:pBdr>
      </w:pP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120" w:after="120"/>
        <w:pBdr>
          <w:bottom w:val="single" w:sz="3" w:space="2" w:color="A07820"/>
        </w:pBdr>
      </w:pP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120" w:after="120"/>
        <w:pBdr>
          <w:bottom w:val="single" w:sz="3" w:space="2" w:color="A07820"/>
        </w:pBdr>
      </w:pP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120" w:after="120"/>
        <w:pBdr>
          <w:bottom w:val="single" w:sz="3" w:space="2" w:color="A07820"/>
        </w:pBdr>
      </w:pP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120" w:after="120"/>
        <w:pBdr>
          <w:bottom w:val="single" w:sz="3" w:space="2" w:color="A07820"/>
        </w:pBdr>
      </w:pP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before="120" w:after="120"/>
        <w:pBdr>
          <w:bottom w:val="single" w:sz="3" w:space="2" w:color="A07820"/>
        </w:pBdr>
      </w:pP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n'est pas une réaction émotionnelle. C'est un projet.</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before="120" w:after="120"/>
        <w:pBdr>
          <w:bottom w:val="single" w:sz="3" w:space="2" w:color="A07820"/>
        </w:pBdr>
      </w:pP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before="120" w:after="120"/>
        <w:pBdr>
          <w:bottom w:val="single" w:sz="3" w:space="2" w:color="A07820"/>
        </w:pBdr>
      </w:pP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before="120" w:after="120"/>
        <w:pBdr>
          <w:bottom w:val="single" w:sz="3" w:space="2" w:color="A07820"/>
        </w:pBdr>
      </w:pP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before="120" w:after="120"/>
        <w:pBdr>
          <w:bottom w:val="single" w:sz="3" w:space="2" w:color="A07820"/>
        </w:pBdr>
      </w:pP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4 — Les résistances oubliées</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12 — L'explosion du terrorisme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23 — Sankara avait raison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