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pPr>
        <w:widowControl w:val="1"/>
        <w:spacing w:before="480" w:after="120" w:line="312" w:lineRule="auto"/>
        <w:ind w:firstLine="0"/>
        <w:jc w:val="both"/>
      </w:pPr>
      <w:r>
        <w:rPr>
          <w:rFonts w:ascii="Garamond" w:hAnsi="Garamond"/>
          <w:b/>
          <w:color w:val="1A1A2E"/>
          <w:sz w:val="64"/>
          <w:i w:val="0"/>
          <w:smallCaps w:val="1"/>
        </w:rPr>
        <w:t>LA PAIX, ON PEUT L'ÉVITER</w:t>
      </w:r>
    </w:p>
    <w:p w14:paraId="7520151E" w14:textId="77777777" w:rsidR="006E716F" w:rsidRDefault="00000000">
      <w:pPr>
        <w:pageBreakBefore/>
        <w:widowControl w:val="1"/>
        <w:spacing w:after="120" w:line="312" w:lineRule="auto" w:before="960"/>
        <w:ind w:firstLine="0"/>
        <w:jc w:val="both"/>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ind w:firstLine="0"/>
        <w:jc w:val="center"/>
      </w:pPr>
      <w:r>
        <w:rPr>
          <w:rFonts w:ascii="Garamond" w:eastAsia="Arial" w:hAnsi="Garamond" w:cs="Arial"/>
          <w:b/>
          <w:bCs/>
          <w:i w:val="0"/>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 w:line="312" w:lineRule="auto"/>
        <w:ind w:firstLine="0"/>
        <w:jc w:val="both"/>
        <w:rPr>
          <w:color w:val="888888"/>
        </w:rPr>
        <w:widowControl w:val="1"/>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ind w:firstLine="0"/>
        <w:jc w:val="center"/>
      </w:pPr>
      <w:r>
        <w:rPr>
          <w:rFonts w:ascii="Garamond" w:eastAsia="Arial" w:hAnsi="Garamond" w:cs="Arial"/>
          <w:b/>
          <w:i w:val="0"/>
          <w:iCs/>
          <w:color w:val="1A1A2E"/>
          <w:sz w:val="30"/>
        </w:rPr>
        <w:t xml:space="preserve"> BEN–H2O</w:t>
      </w:r>
    </w:p>
    <w:p w14:paraId="55A10651" w14:textId="77777777" w:rsidR="006E716F" w:rsidRDefault="000B473B" w:rsidP="00F23DDB">
      <w:pPr>
        <w:spacing w:after="200" w:line="312" w:lineRule="auto" w:before="0"/>
        <w:ind w:right="454" w:left="680" w:firstLine="0"/>
        <w:jc w:val="center"/>
      </w:pPr>
      <w:r>
        <w:rPr>
          <w:rFonts w:ascii="Garamond" w:eastAsia="Arial" w:hAnsi="Garamond" w:cs="Arial"/>
          <w:b w:val="0"/>
          <w:i/>
          <w:iCs/>
          <w:color w:val="7B1E1E"/>
          <w:sz w:val="19"/>
        </w:rPr>
        <w:t>— 2026 —</w:t>
      </w:r>
    </w:p>
    <w:p>
      <w:pPr>
        <w:spacing w:before="400"/>
        <w:jc w:val="center"/>
      </w:pPr>
      <w:r>
        <w:rPr>
          <w:rFonts w:ascii="Garamond" w:hAnsi="Garamond"/>
          <w:color w:val="7B1E1E"/>
          <w:sz w:val="28"/>
        </w:rPr>
        <w:t>❦</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pPr>
        <w:pageBreakBefore/>
        <w:widowControl w:val="1"/>
        <w:spacing w:before="480" w:after="120" w:line="312" w:lineRule="auto"/>
        <w:ind w:firstLine="0"/>
        <w:jc w:val="both"/>
      </w:pPr>
      <w:r>
        <w:rPr>
          <w:rFonts w:ascii="Garamond" w:hAnsi="Garamond"/>
          <w:b/>
          <w:i w:val="0"/>
          <w:color w:val="1A1A2E"/>
          <w:sz w:val="64"/>
        </w:rPr>
        <w:t>LA PAIX, ON PEUT L’ÉVITER</w:t>
      </w:r>
    </w:p>
    <w:p>
      <w:pPr>
        <w:spacing w:before="120" w:after="120" w:line="312" w:lineRule="auto"/>
        <w:ind w:firstLine="0"/>
        <w:jc w:val="both"/>
        <w:widowControl w:val="1"/>
        <w:pBdr>
          <w:bottom w:val="single" w:sz="8" w:space="8" w:color="C8A951"/>
        </w:pBdr>
      </w:pPr>
      <w:r>
        <w:rPr>
          <w:rFonts w:ascii="Garamond" w:hAnsi="Garamond"/>
          <w:b w:val="0"/>
          <w:i/>
          <w:color w:val="1A1A2E"/>
          <w:sz w:val="26"/>
        </w:rPr>
        <w:t>Géopolitique de la résistance africaine</w:t>
      </w:r>
    </w:p>
    <w:p>
      <w:pPr>
        <w:spacing w:before="0" w:after="160" w:line="276" w:lineRule="auto"/>
        <w:ind w:firstLine="0"/>
        <w:jc w:val="left"/>
      </w:pPr>
      <w:r>
        <w:rPr>
          <w:rFonts w:ascii="Garamond" w:hAnsi="Garamond"/>
          <w:b w:val="0"/>
          <w:color w:val="404040"/>
          <w:sz w:val="17"/>
        </w:rPr>
        <w:t>© 2026 BEN–H2O — Tous droits réservés.</w:t>
      </w:r>
    </w:p>
    <w:p>
      <w:pPr>
        <w:spacing w:before="0" w:after="160" w:line="276" w:lineRule="auto"/>
        <w:ind w:firstLine="0"/>
        <w:jc w:val="left"/>
      </w:pPr>
      <w:r>
        <w:rPr>
          <w:rFonts w:ascii="Garamond" w:hAnsi="Garamond"/>
          <w:b w:val="0"/>
          <w:color w:val="404040"/>
          <w:sz w:val="17"/>
        </w:rPr>
        <w:t>Aucune partie de cet ouvrage ne peut être reproduite, stockée ou transmise sous quelque forme ou par quelque moyen que ce soit — électronique, mécanique, photocopie, enregistrement ou autre — sans l’autorisation écrite préalable de l’auteur.</w:t>
      </w:r>
    </w:p>
    <w:p>
      <w:pPr>
        <w:spacing w:before="0" w:after="40" w:line="276" w:lineRule="auto"/>
        <w:ind w:firstLine="0"/>
        <w:jc w:val="left"/>
      </w:pPr>
      <w:r>
        <w:rPr>
          <w:rFonts w:ascii="Garamond" w:hAnsi="Garamond"/>
          <w:b w:val="0"/>
          <w:color w:val="404040"/>
          <w:sz w:val="17"/>
        </w:rPr>
        <w:t>Première édition : 2026</w:t>
      </w:r>
    </w:p>
    <w:p>
      <w:pPr>
        <w:spacing w:before="0" w:after="40" w:line="276" w:lineRule="auto"/>
        <w:ind w:firstLine="0"/>
        <w:jc w:val="left"/>
      </w:pPr>
      <w:r>
        <w:rPr>
          <w:rFonts w:ascii="Garamond" w:hAnsi="Garamond"/>
          <w:b w:val="0"/>
          <w:color w:val="404040"/>
          <w:sz w:val="17"/>
        </w:rPr>
        <w:t>Format : 15,24 × 22,86 cm (6 × 9 po)</w:t>
      </w:r>
    </w:p>
    <w:p>
      <w:pPr>
        <w:spacing w:before="0" w:after="40" w:line="276" w:lineRule="auto"/>
        <w:ind w:firstLine="0"/>
        <w:jc w:val="left"/>
      </w:pPr>
      <w:r>
        <w:rPr>
          <w:rFonts w:ascii="Garamond" w:hAnsi="Garamond"/>
          <w:b w:val="0"/>
          <w:color w:val="404040"/>
          <w:sz w:val="17"/>
        </w:rPr>
        <w:t>ISBN : [à compléter]</w:t>
      </w:r>
    </w:p>
    <w:p>
      <w:pPr>
        <w:spacing w:before="0" w:after="40" w:line="276" w:lineRule="auto"/>
        <w:ind w:firstLine="0"/>
        <w:jc w:val="left"/>
      </w:pPr>
      <w:r>
        <w:rPr>
          <w:rFonts w:ascii="Garamond" w:hAnsi="Garamond"/>
          <w:b w:val="0"/>
          <w:color w:val="404040"/>
          <w:sz w:val="17"/>
        </w:rPr>
        <w:t>Dépôt légal : [à compléter]</w:t>
      </w:r>
    </w:p>
    <w:p>
      <w:pPr>
        <w:spacing w:before="0" w:after="0" w:line="276" w:lineRule="auto"/>
        <w:ind w:firstLine="0"/>
        <w:jc w:val="left"/>
      </w:pPr>
      <w:r>
        <w:rPr>
          <w:rFonts w:ascii="Garamond" w:hAnsi="Garamond"/>
          <w:b w:val="0"/>
          <w:color w:val="404040"/>
          <w:sz w:val="17"/>
        </w:rPr>
        <w:t>Publié à compte d’auteur via Kindle Direct Publishing.</w:t>
      </w:r>
    </w:p>
    <w:p w14:paraId="7AA3DFA6" w14:textId="77777777" w:rsidR="006E716F" w:rsidRDefault="00000000">
      <w:pPr>
        <w:spacing w:before="160" w:after="40" w:line="276" w:lineRule="auto"/>
        <w:ind w:left="680" w:right="454" w:firstLine="0"/>
        <w:pageBreakBefore/>
        <w:pBdr>
          <w:left w:val="single" w:sz="24" w:space="12" w:color="7B1E1E"/>
        </w:pBdr>
      </w:pPr>
      <w:r>
        <w:rPr>
          <w:rFonts w:ascii="Garamond" w:eastAsia="Georgia" w:hAnsi="Garamond" w:cs="Georgia"/>
          <w:i/>
          <w:iCs/>
          <w:color w:val="7B1E1E"/>
          <w:sz w:val="21"/>
          <w:szCs w:val="21"/>
        </w:rPr>
        <w:t>« Un peuple sans connaissance de son histoire, de son origine et de sa culture est comme un arbre sans racines. »</w:t>
      </w:r>
    </w:p>
    <w:p w14:paraId="7BC7DC50" w14:textId="77777777" w:rsidR="006E716F" w:rsidRDefault="00000000">
      <w:pPr>
        <w:spacing w:after="200" w:line="264" w:lineRule="auto" w:before="0"/>
        <w:ind w:left="680" w:right="454" w:firstLine="0"/>
      </w:pPr>
      <w:r>
        <w:rPr>
          <w:rFonts w:ascii="Garamond" w:eastAsia="Arial" w:hAnsi="Garamond" w:cs="Arial"/>
          <w:i/>
          <w:iCs/>
          <w:sz w:val="19"/>
          <w:szCs w:val="18"/>
        </w:rPr>
        <w:t>— Marcus Garvey</w:t>
      </w:r>
    </w:p>
    <w:p w14:paraId="3D5BD06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La liberté ne se donne pas, elle se prend. »</w:t>
      </w:r>
    </w:p>
    <w:p w14:paraId="06565264" w14:textId="77777777" w:rsidR="006E716F" w:rsidRDefault="00000000">
      <w:pPr>
        <w:spacing w:after="200" w:line="264" w:lineRule="auto" w:before="0"/>
        <w:ind w:left="680" w:right="454" w:firstLine="0"/>
      </w:pPr>
      <w:r>
        <w:rPr>
          <w:rFonts w:ascii="Garamond" w:eastAsia="Arial" w:hAnsi="Garamond" w:cs="Arial"/>
          <w:i/>
          <w:iCs/>
          <w:sz w:val="19"/>
          <w:szCs w:val="18"/>
        </w:rPr>
        <w:t>— Frantz Fanon, Les Damnés de la Terre, 1961</w:t>
      </w:r>
    </w:p>
    <w:p w14:paraId="38A37370"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Il faut oser inventer l’avenir. »</w:t>
      </w:r>
    </w:p>
    <w:p w14:paraId="7190507F" w14:textId="77777777" w:rsidR="006E716F" w:rsidRDefault="00000000">
      <w:pPr>
        <w:spacing w:after="200" w:line="264" w:lineRule="auto" w:before="0"/>
        <w:ind w:left="680" w:right="454" w:firstLine="0"/>
      </w:pPr>
      <w:r>
        <w:rPr>
          <w:rFonts w:ascii="Garamond" w:eastAsia="Arial" w:hAnsi="Garamond" w:cs="Arial"/>
          <w:i/>
          <w:iCs/>
          <w:sz w:val="19"/>
          <w:szCs w:val="18"/>
        </w:rPr>
        <w:t>— Thomas Sankara, discours à l’ONU, 4 octobre 1984</w:t>
      </w:r>
    </w:p>
    <w:p w14:paraId="486D1CE9"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Nous préférons la pauvreté dans la liberté à la richesse dans l’esclavage. »</w:t>
      </w:r>
    </w:p>
    <w:p w14:paraId="1CFAEB64" w14:textId="77777777" w:rsidR="006E716F" w:rsidRDefault="00000000">
      <w:pPr>
        <w:spacing w:after="200" w:line="264" w:lineRule="auto" w:before="0"/>
        <w:ind w:left="680" w:right="454" w:firstLine="0"/>
      </w:pPr>
      <w:r>
        <w:rPr>
          <w:rFonts w:ascii="Garamond" w:eastAsia="Arial" w:hAnsi="Garamond" w:cs="Arial"/>
          <w:i/>
          <w:iCs/>
          <w:sz w:val="19"/>
          <w:szCs w:val="18"/>
        </w:rPr>
        <w:t>— Ahmed Sékou Touré, devant de Gaulle, 25 septembre 1958</w:t>
      </w:r>
    </w:p>
    <w:p w14:paraId="61251F83"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before="0"/>
        <w:ind w:left="680" w:right="454" w:firstLine="0"/>
      </w:pPr>
      <w:r>
        <w:rPr>
          <w:rFonts w:ascii="Garamond" w:eastAsia="Arial" w:hAnsi="Garamond" w:cs="Arial"/>
          <w:i/>
          <w:iCs/>
          <w:sz w:val="19"/>
          <w:szCs w:val="18"/>
        </w:rPr>
        <w:t>— Fridolin Ngoulou, analyste centrafricain</w:t>
      </w:r>
    </w:p>
    <w:p w14:paraId="18E3803D"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Restons vigilants. »</w:t>
      </w:r>
    </w:p>
    <w:p w14:paraId="6ABB52D7" w14:textId="77777777" w:rsidR="006E716F" w:rsidRDefault="00000000">
      <w:pPr>
        <w:spacing w:after="200" w:line="264" w:lineRule="auto" w:before="0"/>
        <w:ind w:left="680" w:right="454" w:firstLine="0"/>
      </w:pPr>
      <w:r>
        <w:rPr>
          <w:rFonts w:ascii="Garamond" w:eastAsia="Arial" w:hAnsi="Garamond" w:cs="Arial"/>
          <w:i/>
          <w:iCs/>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widowControl w:val="1"/>
        <w:pBdr>
          <w:bottom w:val="single" w:sz="6" w:space="6" w:color="C8A951"/>
        </w:pBdr>
        <w:spacing w:before="480" w:after="120" w:line="312" w:lineRule="auto"/>
        <w:ind w:firstLine="0"/>
        <w:jc w:val="both"/>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widowControl w:val="1"/>
        <w:spacing w:after="120" w:line="312" w:lineRule="auto" w:before="40"/>
        <w:ind w:firstLine="283"/>
        <w:jc w:val="both"/>
      </w:pPr>
      <w:r>
        <w:rPr>
          <w:rFonts w:ascii="Garamond" w:eastAsia="Georgia" w:hAnsi="Garamond" w:cs="Georgi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widowControl w:val="1"/>
        <w:spacing w:after="120" w:line="312" w:lineRule="auto" w:before="40"/>
        <w:ind w:firstLine="283"/>
        <w:jc w:val="both"/>
      </w:pPr>
      <w:r>
        <w:rPr>
          <w:rFonts w:ascii="Garamond" w:eastAsia="Georgia" w:hAnsi="Garamond" w:cs="Georgi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widowControl w:val="1"/>
        <w:spacing w:after="120" w:line="312" w:lineRule="auto" w:before="40"/>
        <w:ind w:firstLine="283"/>
        <w:jc w:val="both"/>
      </w:pPr>
      <w:r>
        <w:rPr>
          <w:rFonts w:ascii="Garamond" w:eastAsia="Georgia" w:hAnsi="Garamond" w:cs="Georgi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before="0"/>
        <w:ind w:left="680" w:right="454" w:firstLine="0"/>
      </w:pPr>
      <w:r>
        <w:rPr>
          <w:rFonts w:ascii="Garamond" w:eastAsia="Arial" w:hAnsi="Garamond" w:cs="Arial"/>
          <w:i/>
          <w:iCs/>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ind w:firstLine="0"/>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 — CE QUE LA FRANCE A EFFACÉ</w:t>
      </w:r>
    </w:p>
    <w:p w14:paraId="0261844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 — Les empires africains précoloniaux</w:t>
      </w:r>
    </w:p>
    <w:p w14:paraId="721D2D2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 — La conquête coloniale et ses résistances</w:t>
      </w:r>
    </w:p>
    <w:p w14:paraId="645B01D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 — L'EMPIRE DU MENSONGE</w:t>
      </w:r>
    </w:p>
    <w:p w14:paraId="7D8FFAF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 — Le pacte colonial camouflé</w:t>
      </w:r>
    </w:p>
    <w:p w14:paraId="179C790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4b — La chaîne du pillage : Elf, les mallettes et les tribunaux</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5 — La machine extractive : CFA, uranium, or, pétrole</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5b — Décolonisation économique : nationalisation, protectionnisme et la sortie du franc CFA</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6 — L'aide publique au développement : arnaque documentée</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6b — Le FMI, la Banque mondiale et les assassins financiers</w:t>
      </w:r>
    </w:p>
    <w:p w14:paraId="1F4E2AB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7 — Barkhane ou la guerre comme service après-vente</w:t>
      </w:r>
    </w:p>
    <w:p w14:paraId="14C89A3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III — CE QUE LA FRANCE ADMET EN PRIVÉ</w:t>
      </w:r>
    </w:p>
    <w:p w14:paraId="72D750E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9 — Les aveux institutionnels français</w:t>
      </w:r>
    </w:p>
    <w:p w14:paraId="4946DCD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10 — La doctrine de propagande : aveu d'Anne-Sophie Avé</w:t>
      </w:r>
    </w:p>
    <w:p w14:paraId="3E93364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IV — LES TROIS COURONNES DE LA TRAHISON</w:t>
      </w:r>
    </w:p>
    <w:p w14:paraId="3C12D9C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12 — La CEDEAO comme instrument</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 — Les élites compradore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13b — Impérialisme, nazisme et la mécanique de la division africaine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13c — Ouattara, Compaoré, Mobutu : portraits de la trahison instrumentalisée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 — LES FILS DE LIPTAKO-GOURMA</w:t>
      </w:r>
    </w:p>
    <w:p w14:paraId="76C891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15 — La fabrique du terrorisme au Sahel</w:t>
      </w:r>
    </w:p>
    <w:p w14:paraId="0781133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16 — Mali : la première rupture</w:t>
      </w:r>
    </w:p>
    <w:p w14:paraId="7DCBEDF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17 — Burkina Faso : le MPSR et la doctrine Traoré</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18 — Niger : le CNSP et le verrou final</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18b — La base d'Agadez : un accord imposé sans le consentement du Niger</w:t>
      </w:r>
    </w:p>
    <w:p w14:paraId="2EFDFCE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 — LA GÉOPOLITIQUE DE LA RUPTURE</w:t>
      </w:r>
    </w:p>
    <w:p w14:paraId="2BD2F32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20 — Le Tchad : Mahamat Déby entre deux feux</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21 — L'Algérie : médiateur ambigu</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21b — L'Algérie et le Mali : de la fraternité anticoloniale à la trahison</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22 — Russie, Chine, Turquie : partenaires ou nouveaux maîtres ?</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22b — La Turquie et le Sahel : Erdoğan, les Bayraktar et la diplomatie du partenaire non-colonial</w:t>
      </w:r>
    </w:p>
    <w:p w14:paraId="1333017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23 — Les États-Unis face à la recomposition</w:t>
      </w:r>
    </w:p>
    <w:p w14:paraId="26CC589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 — LA GUERRE PROXY</w:t>
      </w:r>
    </w:p>
    <w:p w14:paraId="73C966F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25 — L'armée fantôme de Paris</w:t>
      </w:r>
    </w:p>
    <w:p w14:paraId="10805B24" w14:textId="3C2EFA98"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25b — Le renseignement comme arme de guerre : barbouzes, ESSD et guerre secrète en Afrique</w:t>
      </w:r>
    </w:p>
    <w:p w14:paraId="0EE00001" w14:textId="0CF6D0E4" w:rsidR="0028409C" w:rsidRDefault="00156718" w:rsidP="00156718">
      <w:pPr>
        <w:widowControl w:val="1"/>
        <w:spacing w:after="120" w:before="60" w:line="312" w:lineRule="auto"/>
        <w:ind w:left="850" w:firstLine="0"/>
        <w:jc w:val="both"/>
      </w:pPr>
      <w:r>
        <w:rPr>
          <w:rFonts w:ascii="Garamond" w:hAnsi="Garamond"/>
          <w:b w:val="0"/>
        </w:rPr>
      </w:r>
      <w:r w:rsidR="00000000">
        <w:rPr>
          <w:rFonts w:ascii="Garamond" w:hAnsi="Garamond"/>
          <w:b w:val="0"/>
        </w:rPr>
        <w:t>Chapitre 25c — Les ONG : le visage charitable de la guerre</w:t>
      </w:r>
    </w:p>
    <w:p w14:paraId="0EE00002" w14:textId="0B76F85B" w:rsidR="0028409C" w:rsidRDefault="00156718" w:rsidP="00156718">
      <w:pPr>
        <w:widowControl w:val="1"/>
        <w:spacing w:after="120" w:before="60" w:line="312" w:lineRule="auto"/>
        <w:ind w:left="850" w:firstLine="0"/>
        <w:jc w:val="both"/>
      </w:pPr>
      <w:r>
        <w:rPr>
          <w:rFonts w:ascii="Garamond" w:hAnsi="Garamond"/>
          <w:b w:val="0"/>
        </w:rPr>
      </w:r>
      <w:r w:rsidR="00000000">
        <w:rPr>
          <w:rFonts w:ascii="Garamond" w:hAnsi="Garamond"/>
          <w:b w:val="0"/>
        </w:rPr>
        <w:t>Chapitre 25d — La CPI : justice universelle ou justice à sens unique ?</w:t>
      </w:r>
    </w:p>
    <w:p w14:paraId="0EE00003" w14:textId="70CB5D6A" w:rsidR="0028409C" w:rsidRDefault="00156718" w:rsidP="00156718">
      <w:pPr>
        <w:widowControl w:val="1"/>
        <w:spacing w:after="120" w:before="60" w:line="312" w:lineRule="auto"/>
        <w:ind w:left="850" w:firstLine="0"/>
        <w:jc w:val="both"/>
      </w:pPr>
      <w:r>
        <w:rPr>
          <w:rFonts w:ascii="Garamond" w:hAnsi="Garamond"/>
          <w:b w:val="0"/>
        </w:rPr>
        <w:t>Chapitre 25e — La diaspora en guerre : du vecteur d’influence au front de résistance</w:t>
      </w:r>
      <w:r w:rsidR="00000000">
        <w:rPr>
          <w:rFonts w:ascii="Garamond" w:hAnsi="Garamond"/>
          <w:b w:val="0"/>
        </w:rPr>
      </w:r>
    </w:p>
    <w:p w14:paraId="0EE00004" w14:textId="243F8942" w:rsidR="0028409C" w:rsidRDefault="00156718" w:rsidP="00156718">
      <w:pPr>
        <w:widowControl w:val="1"/>
        <w:spacing w:after="120" w:before="60" w:line="312" w:lineRule="auto"/>
        <w:ind w:left="850" w:firstLine="0"/>
        <w:jc w:val="both"/>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26 — Sadio Camara : de l'architecte à la cible</w:t>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26b — Tinzawaten : l'Ukraine comme plateforme de la guerre proxy au Sahel</w:t>
      </w:r>
    </w:p>
    <w:p w14:paraId="3EAB33B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27 — Les attaques du 25 avril 2026</w:t>
      </w:r>
    </w:p>
    <w:p w14:paraId="48EB635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VIII — LES DÉFIS INTERNES DE L'AES</w:t>
      </w:r>
    </w:p>
    <w:p>
      <w:pPr>
        <w:widowControl w:val="1"/>
        <w:spacing w:after="120" w:before="60" w:line="312" w:lineRule="auto"/>
        <w:ind w:left="850" w:firstLine="0"/>
        <w:jc w:val="both"/>
      </w:pPr>
      <w:r>
        <w:rPr>
          <w:rFonts w:ascii="Garamond" w:hAnsi="Garamond"/>
          <w:b w:val="0"/>
        </w:rPr>
        <w:t>Chapitre 28b — L'Affaire Vésilier : Quand la Justice Africaine Tient Bon</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29 — La menace jihadiste persistante</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29b — La vraie question démocratique dans l'AES : légitimité, institutions et infiltration</w:t>
      </w:r>
    </w:p>
    <w:p/>
    <w:p>
      <w:pPr>
        <w:pStyle w:val="Normal"/>
        <w:widowControl w:val="1"/>
        <w:spacing w:before="60" w:after="120" w:line="312" w:lineRule="auto"/>
        <w:ind w:left="850" w:firstLine="0"/>
        <w:jc w:val="both"/>
      </w:pPr>
      <w:r>
        <w:rPr>
          <w:b w:val="0"/>
        </w:rPr>
        <w:t>Chapitre 30 — Bazoum sans le savoir : les aveux involontaires du dernier compradore</w:t>
      </w:r>
    </w:p>
    <w:p w14:paraId="0557B437"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IX — L'HORIZON SOUVERAIN</w:t>
      </w:r>
    </w:p>
    <w:p w14:paraId="00320000" w14:textId="77777777" w:rsidR="0028409C" w:rsidRDefault="00000000">
      <w:pPr>
        <w:widowControl w:val="1"/>
        <w:spacing w:after="120" w:before="60" w:line="312" w:lineRule="auto"/>
        <w:ind w:left="850" w:firstLine="0"/>
        <w:jc w:val="both"/>
        <w:rPr>
          <w:rFonts w:ascii="Garamond" w:hAnsi="Garamond"/>
        </w:rPr>
      </w:pPr>
      <w:r>
        <w:rPr>
          <w:rFonts w:ascii="Garamond" w:hAnsi="Garamond"/>
          <w:b w:val="0"/>
        </w:rPr>
        <w:t>Chapitre 32 — Les morts de Barkhane : autopsie d’un mensonge d’État</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33 — La monnaie : briser la chaîne du CFA</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33b — La RCA et le Sango : le bitcoin comme arme de souveraineté monétaire</w:t>
      </w:r>
    </w:p>
    <w:p w14:paraId="1A51B8C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34 — L'armée fédérale sahélienne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35 — La diaspora comme force stratégique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35b — L'éducation comme arme de souveraineté</w:t>
      </w:r>
    </w:p>
    <w:p w14:paraId="216A7BC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36 — Sankara avait raison</w:t>
      </w:r>
    </w:p>
    <w:p w14:paraId="0D1BED7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37 — France-Afrique 2.0 : la recomposition de la domination</w:t>
      </w:r>
    </w:p>
    <w:p w14:paraId="0EE00005" w14:textId="6A21F62B" w:rsidR="0028409C" w:rsidRDefault="00156718" w:rsidP="00156718">
      <w:pPr>
        <w:widowControl w:val="1"/>
        <w:spacing w:after="120" w:before="60" w:line="312" w:lineRule="auto"/>
        <w:ind w:left="850" w:firstLine="0"/>
        <w:jc w:val="both"/>
      </w:pPr>
      <w:r>
        <w:rPr>
          <w:rFonts w:ascii="Garamond" w:hAnsi="Garamond"/>
          <w:b w:val="0"/>
        </w:rPr>
      </w:r>
      <w:r w:rsidR="00000000">
        <w:rPr>
          <w:rFonts w:ascii="Garamond" w:hAnsi="Garamond"/>
          <w:b w:val="0"/>
        </w:rPr>
        <w:t>Chapitre 37b — La Francophonie : le dernier empire</w:t>
      </w:r>
    </w:p>
    <w:p w14:paraId="0371DC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t>ÉPILOGUE</w:t>
      </w:r>
    </w:p>
    <w:p w14:paraId="7DDCB7C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40 — L'arrogance comme doctrine : le mépris occidental en Afrique</w:t>
      </w:r>
    </w:p>
    <w:p w14:paraId="17827C3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200" w:before="200"/>
        <w:ind w:left="2160" w:firstLine="0"/>
        <w:jc w:val="center"/>
        <w:rPr>
          <w:color w:val="943634" w:themeColor="accent2" w:themeShade="BF"/>
        </w:rPr>
      </w:pPr>
      <w:r w:rsidRPr="00DB2B9E">
        <w:rPr>
          <w:b w:val="0"/>
          <w:i w:val="0"/>
          <w:color w:val="7B1E1E"/>
        </w:rPr>
        <w:t>★ ★ ★</w:t>
      </w:r>
    </w:p>
    <w:p w14:paraId="14EBC48A" w14:textId="77777777" w:rsidR="00124B22" w:rsidRDefault="00124B22">
      <w:pPr>
        <w:spacing w:after="60"/>
      </w:pPr>
    </w:p>
    <w:p w14:paraId="33DF972F" w14:textId="77777777" w:rsidR="006E716F" w:rsidRDefault="00000000">
      <w:pPr>
        <w:keepNext/>
        <w:pageBreakBefore/>
        <w:spacing w:before="240" w:after="120" w:line="312" w:lineRule="auto"/>
        <w:ind w:left="0" w:firstLine="0"/>
        <w:jc w:val="both"/>
        <w:widowControl w:val="1"/>
        <w:pBdr>
          <w:bottom w:val="single" w:sz="8" w:space="8" w:color="C8A951"/>
        </w:pBdr>
      </w:pPr>
      <w:r>
        <w:rPr>
          <w:rFonts w:ascii="Garamond" w:eastAsia="Arial" w:hAnsi="Garamond" w:cs="Arial"/>
          <w:b/>
          <w:bCs/>
          <w:color w:val="1A1A2E"/>
          <w:sz w:val="34"/>
          <w:szCs w:val="32"/>
        </w:rPr>
        <w:t>PROLOGUE — La villa de Niamey</w:t>
      </w:r>
    </w:p>
    <w:p w14:paraId="23B7B0A1" w14:textId="77777777" w:rsidR="006E716F" w:rsidRDefault="00000000">
      <w:pPr>
        <w:widowControl w:val="1"/>
        <w:spacing w:after="120" w:line="312" w:lineRule="auto"/>
        <w:ind w:firstLine="397"/>
        <w:jc w:val="both"/>
      </w:pPr>
      <w:r>
        <w:rPr>
          <w:rFonts w:ascii="Garamond" w:eastAsia="Georgia" w:hAnsi="Garamond" w:cs="Georgia"/>
          <w:sz w:val="22"/>
          <w:szCs w:val="22"/>
        </w:rPr>
        <w:t>Cinq mots. Un tableau blanc. Une villa à Niamey.</w:t>
      </w:r>
    </w:p>
    <w:p w14:paraId="58FFE010" w14:textId="77777777" w:rsidR="006E716F" w:rsidRDefault="00000000">
      <w:pPr>
        <w:widowControl w:val="1"/>
        <w:spacing w:before="240" w:after="120" w:line="312" w:lineRule="auto"/>
        <w:jc w:val="both"/>
      </w:pPr>
      <w:r>
        <w:rPr>
          <w:rFonts w:ascii="Garamond" w:eastAsia="Georgia" w:hAnsi="Garamond" w:cs="Georgia"/>
          <w:b/>
          <w:bCs/>
          <w:color w:val="1A1A2E"/>
          <w:sz w:val="22"/>
          <w:szCs w:val="24"/>
        </w:rPr>
        <w:t>La paix, on peut l’éviter.</w:t>
      </w:r>
    </w:p>
    <w:p w14:paraId="6B439BE7" w14:textId="77777777" w:rsidR="006E716F" w:rsidRDefault="00000000">
      <w:pPr>
        <w:widowControl w:val="1"/>
        <w:spacing w:after="120" w:line="312" w:lineRule="auto"/>
        <w:ind w:firstLine="397"/>
        <w:jc w:val="both"/>
      </w:pPr>
      <w:r>
        <w:rPr>
          <w:rFonts w:ascii="Garamond" w:eastAsia="Georgia" w:hAnsi="Garamond" w:cs="Georgi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widowControl w:val="1"/>
        <w:spacing w:after="120" w:line="312" w:lineRule="auto"/>
        <w:ind w:firstLine="397"/>
        <w:jc w:val="both"/>
      </w:pPr>
      <w:r>
        <w:rPr>
          <w:rFonts w:ascii="Garamond" w:eastAsia="Georgia" w:hAnsi="Garamond" w:cs="Georgi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sz w:val="22"/>
          <w:szCs w:val="22"/>
        </w:rPr>
        <w:lastRenderedPageBreak/>
        <w:t>conférence panafricaine sur les réparations à Abuja le formule clairement : l’Afrique est créancière, pas débitrice.</w:t>
      </w:r>
    </w:p>
    <w:p w14:paraId="51A38376" w14:textId="77777777" w:rsidR="006E716F" w:rsidRDefault="00000000">
      <w:pPr>
        <w:widowControl w:val="1"/>
        <w:spacing w:after="120" w:line="312" w:lineRule="auto"/>
        <w:ind w:firstLine="397"/>
        <w:jc w:val="both"/>
      </w:pPr>
      <w:r>
        <w:rPr>
          <w:rFonts w:ascii="Garamond" w:eastAsia="Georgia" w:hAnsi="Garamond" w:cs="Georgi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widowControl w:val="1"/>
        <w:spacing w:after="120" w:line="312" w:lineRule="auto"/>
        <w:ind w:firstLine="397"/>
        <w:jc w:val="both"/>
      </w:pPr>
      <w:r>
        <w:rPr>
          <w:rFonts w:ascii="Garamond" w:eastAsia="Georgia" w:hAnsi="Garamond" w:cs="Georgi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widowControl w:val="1"/>
        <w:spacing w:after="120" w:line="312" w:lineRule="auto"/>
        <w:ind w:firstLine="397"/>
        <w:jc w:val="both"/>
      </w:pPr>
      <w:r>
        <w:rPr>
          <w:rFonts w:ascii="Garamond" w:eastAsia="Georgia" w:hAnsi="Garamond" w:cs="Georgi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240" w:after="120" w:line="312" w:lineRule="auto"/>
        <w:ind w:left="0" w:firstLine="0"/>
        <w:jc w:val="both"/>
        <w:rPr>
          <w:color w:val="1A1A1A"/>
        </w:rPr>
        <w:widowControl w:val="1"/>
        <w:pBdr>
          <w:bottom w:val="single" w:sz="8" w:space="8" w:color="C8A951"/>
        </w:pBdr>
      </w:pPr>
      <w:r>
        <w:rPr>
          <w:rFonts w:ascii="Garamond" w:eastAsia="Arial" w:hAnsi="Garamond" w:cs="Arial"/>
          <w:b/>
          <w:bCs/>
          <w:color w:val="1A1A2E"/>
          <w:sz w:val="34"/>
          <w:szCs w:val="30"/>
        </w:rPr>
        <w:t>INTRODUCTION — Pourquoi l’AES change tout</w:t>
      </w:r>
    </w:p>
    <w:p w14:paraId="6E3108F3" w14:textId="77777777" w:rsidR="006E716F" w:rsidRDefault="00000000">
      <w:pPr>
        <w:widowControl w:val="1"/>
        <w:spacing w:after="120" w:line="312" w:lineRule="auto"/>
        <w:ind w:firstLine="397"/>
        <w:jc w:val="both"/>
      </w:pPr>
      <w:r>
        <w:rPr>
          <w:rFonts w:ascii="Garamond" w:eastAsia="Georgia" w:hAnsi="Garamond" w:cs="Georgi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widowControl w:val="1"/>
        <w:spacing w:after="120" w:line="312" w:lineRule="auto"/>
        <w:ind w:firstLine="397"/>
        <w:jc w:val="both"/>
      </w:pPr>
      <w:r>
        <w:rPr>
          <w:rFonts w:ascii="Garamond" w:eastAsia="Georgia" w:hAnsi="Garamond" w:cs="Georgi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widowControl w:val="1"/>
        <w:spacing w:after="120" w:line="312" w:lineRule="auto"/>
        <w:ind w:firstLine="397"/>
        <w:jc w:val="both"/>
      </w:pPr>
      <w:r>
        <w:rPr>
          <w:rFonts w:ascii="Garamond" w:eastAsia="Georgia" w:hAnsi="Garamond" w:cs="Georgi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widowControl w:val="1"/>
        <w:spacing w:after="120" w:line="312" w:lineRule="auto"/>
        <w:ind w:firstLine="397"/>
        <w:jc w:val="both"/>
      </w:pPr>
      <w:r>
        <w:rPr>
          <w:rFonts w:ascii="Garamond" w:eastAsia="Georgia" w:hAnsi="Garamond" w:cs="Georgi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widowControl w:val="1"/>
        <w:spacing w:after="120" w:line="312" w:lineRule="auto"/>
        <w:ind w:firstLine="397"/>
        <w:jc w:val="both"/>
      </w:pPr>
      <w:r>
        <w:rPr>
          <w:rFonts w:ascii="Garamond" w:eastAsia="Georgia" w:hAnsi="Garamond" w:cs="Georgi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widowControl w:val="1"/>
        <w:spacing w:after="120" w:line="312" w:lineRule="auto"/>
        <w:ind w:firstLine="397"/>
        <w:jc w:val="both"/>
      </w:pPr>
      <w:r>
        <w:rPr>
          <w:rFonts w:ascii="Garamond" w:eastAsia="Georgia" w:hAnsi="Garamond" w:cs="Georgi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7B1E1E"/>
          <w:sz w:val="21"/>
          <w:szCs w:val="21"/>
        </w:rPr>
        <w:t>« Nous ne pouvons pas laisser l’histoire de l’Afrique s’écrire par ceux qui l’ont pillée. »</w:t>
      </w:r>
    </w:p>
    <w:p w14:paraId="3CA7261A" w14:textId="77777777" w:rsidR="006E716F" w:rsidRDefault="00000000">
      <w:pPr>
        <w:spacing w:after="200" w:line="264" w:lineRule="auto" w:before="0"/>
        <w:ind w:left="680" w:right="454" w:firstLine="0"/>
      </w:pPr>
      <w:r>
        <w:rPr>
          <w:rFonts w:ascii="Garamond" w:eastAsia="Arial" w:hAnsi="Garamond" w:cs="Arial"/>
          <w:i/>
          <w:iCs/>
          <w:sz w:val="19"/>
          <w:szCs w:val="18"/>
        </w:rPr>
        <w:t>— Général Abdourahamane Tiani, CNSP Niger, août 2023</w:t>
      </w:r>
    </w:p>
    <w:p w14:paraId="736D875D" w14:textId="77777777" w:rsidR="006E716F" w:rsidRDefault="000B473B" w:rsidP="000B473B">
      <w:pPr>
        <w:spacing w:before="200" w:after="200"/>
        <w:ind w:left="2160" w:firstLine="0"/>
        <w:jc w:val="center"/>
      </w:pPr>
      <w:bookmarkStart w:id="0" w:name="_Hlk231332993"/>
      <w:r w:rsidRPr="00021DCF">
        <w:rPr>
          <w:rFonts w:ascii="Garamond" w:hAnsi="Garamond" w:cs="Garamond"/>
          <w:b w:val="0"/>
          <w:i w:val="0"/>
          <w:color w:val="7B1E1E"/>
        </w:rPr>
        <w:t>★ ★ ★</w:t>
      </w:r>
      <w:r w:rsidRPr="00021DCF">
        <w:rPr>
          <w:b w:val="0"/>
          <w:i w:val="0"/>
          <w:color w:val="7B1E1E"/>
        </w:rPr>
      </w:r>
      <w:r w:rsidRPr="00021DCF">
        <w:rPr>
          <w:rFonts w:ascii="Garamond" w:hAnsi="Garamond" w:cs="Garamond"/>
          <w:b w:val="0"/>
          <w:i w:val="0"/>
          <w:color w:val="7B1E1E"/>
        </w:rPr>
      </w:r>
      <w:r w:rsidRPr="00021DCF">
        <w:rPr>
          <w:b w:val="0"/>
          <w:i w:val="0"/>
          <w:color w:val="7B1E1E"/>
        </w:rPr>
      </w:r>
      <w:r w:rsidRPr="00021DCF">
        <w:rPr>
          <w:rFonts w:ascii="Garamond" w:hAnsi="Garamond" w:cs="Garamond"/>
          <w:b w:val="0"/>
          <w:i w:val="0"/>
          <w:color w:val="7B1E1E"/>
        </w:rPr>
      </w:r>
      <w:bookmarkEnd w:id="0"/>
      <w:r>
        <w:rPr>
          <w:b w:val="0"/>
          <w:i w:val="0"/>
          <w:color w:val="7B1E1E"/>
        </w:rPr>
      </w:r>
    </w:p>
    <w:p w14:paraId="4BEEE568" w14:textId="77777777" w:rsidR="006E716F" w:rsidRDefault="00000000">
      <w:r>
        <w:lastRenderedPageBreak/>
        <w:br w:type="page"/>
      </w:r>
    </w:p>
    <w:p w14:paraId="26E3B2E8" w14:textId="77777777" w:rsidR="006E716F" w:rsidRDefault="00000000">
      <w:pPr>
        <w:pageBreakBefore/>
        <w:spacing w:before="240" w:after="80" w:line="288" w:lineRule="auto"/>
        <w:ind w:left="0" w:firstLine="0"/>
        <w:jc w:val="center"/>
        <w:rPr>
          <w:color w:val="888888"/>
        </w:rPr>
      </w:pPr>
      <w:r>
        <w:rPr>
          <w:rFonts w:ascii="Garamond" w:eastAsia="Arial" w:hAnsi="Garamond" w:cs="Arial"/>
          <w:b/>
          <w:bCs/>
          <w:color w:val="1A1A2E"/>
          <w:sz w:val="22"/>
          <w:szCs w:val="24"/>
        </w:rPr>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widowControl w:val="1"/>
        <w:spacing w:after="120" w:line="312" w:lineRule="auto" w:before="40"/>
        <w:ind w:firstLine="0"/>
        <w:jc w:val="both"/>
      </w:pPr>
      <w:r>
        <w:rPr>
          <w:rFonts w:ascii="Garamond" w:eastAsia="Arial" w:hAnsi="Garamond" w:cs="Arial"/>
          <w:i/>
          <w:iCs/>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 — Les empires africains précoloniaux</w:t>
      </w:r>
    </w:p>
    <w:p w14:paraId="1277AF8B" w14:textId="77777777" w:rsidR="006E716F" w:rsidRDefault="00000000">
      <w:pPr>
        <w:widowControl w:val="1"/>
        <w:spacing w:after="120" w:line="312" w:lineRule="auto" w:before="40"/>
        <w:ind w:firstLine="0"/>
        <w:jc w:val="both"/>
      </w:pPr>
      <w:r>
        <w:rPr>
          <w:rFonts w:ascii="Garamond" w:eastAsia="Georgia" w:hAnsi="Garamond" w:cs="Georgi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0"/>
        <w:jc w:val="both"/>
      </w:pPr>
      <w:r>
        <w:rPr>
          <w:rFonts w:ascii="Garamond" w:eastAsia="Georgia" w:hAnsi="Garamond" w:cs="Georgi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7B1E1E"/>
          <w:sz w:val="21"/>
          <w:szCs w:val="21"/>
        </w:rPr>
        <w:t>« Azawad est une fabrication politique. »</w:t>
      </w:r>
    </w:p>
    <w:p w14:paraId="2F3E1E4A" w14:textId="6F4D8545" w:rsidR="0053765E" w:rsidRPr="000A4860" w:rsidRDefault="0053765E" w:rsidP="00021DCF">
      <w:pPr>
        <w:widowControl w:val="1"/>
        <w:spacing w:before="0" w:after="200" w:line="276" w:lineRule="auto"/>
        <w:ind w:left="680" w:right="454" w:firstLine="0"/>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sz w:val="22"/>
          <w:szCs w:val="22"/>
        </w:rPr>
        <w:t>Mohamedou</w:t>
      </w:r>
      <w:proofErr w:type="spellEnd"/>
      <w:r>
        <w:rPr>
          <w:rFonts w:ascii="Garamond" w:eastAsia="Georgia" w:hAnsi="Garamond" w:cs="Georgi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0"/>
        <w:jc w:val="both"/>
      </w:pPr>
      <w:r>
        <w:rPr>
          <w:rFonts w:ascii="Garamond" w:eastAsia="Georgia" w:hAnsi="Garamond" w:cs="Georgi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Nous préférons la pauvreté dans la liberté à l’opulence dans l’esclavage. »</w:t>
      </w:r>
    </w:p>
    <w:p w14:paraId="20339F0B"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0"/>
        <w:jc w:val="both"/>
      </w:pPr>
      <w:r>
        <w:rPr>
          <w:rFonts w:ascii="Garamond" w:eastAsia="Arial" w:hAnsi="Garamond" w:cs="Arial"/>
          <w:i/>
          <w:iCs/>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0"/>
        <w:jc w:val="both"/>
      </w:pPr>
      <w:r>
        <w:rPr>
          <w:rFonts w:ascii="Garamond" w:eastAsia="Georgia" w:hAnsi="Garamond" w:cs="Georgi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0"/>
        <w:jc w:val="both"/>
        <w:rPr>
          <w:rFonts w:ascii="Garamond" w:eastAsia="Georgia" w:hAnsi="Garamond" w:cs="Georgia"/>
          <w:color w:val="1A1A1A"/>
          <w:sz w:val="22"/>
          <w:szCs w:val="22"/>
        </w:rPr>
      </w:pPr>
      <w:r>
        <w:rPr>
          <w:rFonts w:ascii="Garamond" w:eastAsia="Georgia" w:hAnsi="Garamond" w:cs="Georgi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Loïk Le Floch-Prigent ancien dirigeant d’Elf</w:t>
      </w:r>
    </w:p>
    <w:p w14:paraId="2A74E8C0"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1B2F15C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firstLine="0"/>
        <w:keepLines w:val="1"/>
        <w:pBdr>
          <w:left w:val="single" w:sz="24" w:space="12"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firstLine="0"/>
        <w:keepLines w:val="1"/>
        <w:pBdr>
          <w:left w:val="single" w:sz="24" w:space="12"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firstLine="0"/>
        <w:keepLines w:val="1"/>
        <w:pBdr>
          <w:left w:val="single" w:sz="24" w:space="12"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keepNext/>
        <w:spacing w:before="0" w:after="240"/>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0"/>
        <w:jc w:val="both"/>
      </w:pPr>
      <w:r>
        <w:rPr>
          <w:rFonts w:ascii="Garamond" w:eastAsia="Georgia" w:hAnsi="Garamond" w:cs="Georgi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firstLine="0"/>
        <w:keepLines w:val="1"/>
        <w:pBdr>
          <w:left w:val="single" w:sz="24" w:space="12"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firstLine="0"/>
        <w:keepLines w:val="1"/>
        <w:pBdr>
          <w:left w:val="single" w:sz="24" w:space="12"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firstLine="0"/>
        <w:keepLines w:val="1"/>
        <w:pBdr>
          <w:left w:val="single" w:sz="24" w:space="12"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keepNext/>
        <w:spacing w:before="0" w:after="240"/>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0"/>
        <w:jc w:val="both"/>
      </w:pPr>
      <w:r>
        <w:rPr>
          <w:rFonts w:ascii="Garamond" w:eastAsia="Georgia" w:hAnsi="Garamond" w:cs="Georgi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Le bilan humain de Barkhane, invoqué à satiété par Paris comme preuve de son sacrifice, mérite un examen source par source. Nathalie </w:t>
      </w:r>
      <w:r>
        <w:rPr>
          <w:rFonts w:ascii="Garamond" w:eastAsia="Georgia" w:hAnsi="Garamond" w:cs="Georgi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0"/>
        <w:jc w:val="both"/>
      </w:pPr>
      <w:r>
        <w:rPr>
          <w:rFonts w:ascii="Garamond" w:eastAsia="Georgia" w:hAnsi="Garamond" w:cs="Georgi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0"/>
        <w:jc w:val="both"/>
      </w:pPr>
      <w:r>
        <w:rPr>
          <w:rFonts w:ascii="Garamond" w:eastAsia="Arial" w:hAnsi="Garamond" w:cs="Arial"/>
          <w:i/>
          <w:iCs/>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0"/>
        <w:jc w:val="both"/>
      </w:pPr>
      <w:r>
        <w:rPr>
          <w:rFonts w:ascii="Garamond" w:eastAsia="Georgia" w:hAnsi="Garamond" w:cs="Georgi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0"/>
        <w:jc w:val="both"/>
      </w:pPr>
      <w:r>
        <w:rPr>
          <w:rFonts w:ascii="Garamond" w:eastAsia="Georgia" w:hAnsi="Garamond" w:cs="Georgi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0"/>
        <w:jc w:val="both"/>
      </w:pPr>
      <w:r>
        <w:rPr>
          <w:rFonts w:ascii="Garamond" w:eastAsia="Georgia" w:hAnsi="Garamond" w:cs="Georgi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0"/>
        <w:jc w:val="both"/>
      </w:pPr>
      <w:r>
        <w:rPr>
          <w:rFonts w:ascii="Garamond" w:eastAsia="Arial" w:hAnsi="Garamond" w:cs="Arial"/>
          <w:i/>
          <w:iCs/>
          <w:sz w:val="22"/>
          <w:szCs w:val="22"/>
        </w:rPr>
        <w:t>CEDEAO, élite compradore, guerre informationnelle</w:t>
      </w:r>
    </w:p>
    <w:p w14:paraId="2450A17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0"/>
        <w:jc w:val="both"/>
      </w:pPr>
      <w:r>
        <w:rPr>
          <w:rFonts w:ascii="Garamond" w:eastAsia="Georgia" w:hAnsi="Garamond" w:cs="Georgi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4274B93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t>Chapitre 13 — Les élites compradore</w:t>
      </w:r>
    </w:p>
    <w:p w14:paraId="12F2305A" w14:textId="77777777" w:rsidR="006E716F" w:rsidRDefault="00000000">
      <w:pPr>
        <w:widowControl w:val="1"/>
        <w:spacing w:after="120" w:line="312" w:lineRule="auto" w:before="40"/>
        <w:ind w:firstLine="0"/>
        <w:jc w:val="both"/>
      </w:pPr>
      <w:r>
        <w:rPr>
          <w:rFonts w:ascii="Garamond" w:eastAsia="Georgia" w:hAnsi="Garamond" w:cs="Georgi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sz w:val="22"/>
          <w:szCs w:val="22"/>
        </w:rPr>
        <w:t xml:space="preserve">Abdourahamane Tiani, CNSP Niger, entretien Télé </w:t>
      </w:r>
      <w:r w:rsidR="00FA2838">
        <w:rPr>
          <w:rFonts w:ascii="Garamond" w:eastAsia="Georgia" w:hAnsi="Garamond" w:cs="Georgi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7B1E1E"/>
          <w:sz w:val="21"/>
          <w:szCs w:val="21"/>
        </w:rPr>
        <w:t>« L’aide étrangère constitue 40% du budget national, mais elle ne sera pas délivrée si le coup d’État réussit. »</w:t>
      </w:r>
    </w:p>
    <w:p w14:paraId="54000AC9" w14:textId="0B37B4AF" w:rsidR="00D234DF" w:rsidRPr="00D234DF" w:rsidRDefault="00D234DF">
      <w:pPr>
        <w:widowControl w:val="1"/>
        <w:spacing w:before="0" w:after="200" w:line="276" w:lineRule="auto"/>
        <w:ind w:left="680" w:right="454" w:firstLine="0"/>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sz w:val="22"/>
          <w:szCs w:val="22"/>
        </w:rPr>
        <w:t xml:space="preserve">Bazoum va plus loin dans une interview accordée à RFI/France 24 à mi-mandat, avant le coup du 26 juillet 2023. Il y formule l’aveu le plus </w:t>
      </w:r>
      <w:r>
        <w:rPr>
          <w:rFonts w:ascii="Garamond" w:eastAsia="Georgia" w:hAnsi="Garamond" w:cs="Georgi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firstLine="0"/>
        <w:keepLines w:val="1"/>
        <w:pBdr>
          <w:left w:val="single" w:sz="24" w:space="12"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firstLine="0"/>
        <w:keepLines w:val="1"/>
        <w:pBdr>
          <w:left w:val="single" w:sz="24" w:space="12"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firstLine="0"/>
        <w:keepLines w:val="1"/>
        <w:pBdr>
          <w:left w:val="single" w:sz="24" w:space="12"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keepNext/>
        <w:spacing w:before="0" w:after="240"/>
      </w:pPr>
      <w:r>
        <w:rPr>
          <w:rFonts w:ascii="Garamond" w:hAnsi="Garamond"/>
          <w:b w:val="0"/>
          <w:color w:val="1A1A2E"/>
          <w:sz w:val="28"/>
        </w:rPr>
        <w:t>Chapitre 13b — Impérialisme, nazisme et la mécanique de la division africaine</w:t>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firstLine="0"/>
        <w:keepLines w:val="1"/>
        <w:pBdr>
          <w:left w:val="single" w:sz="24" w:space="12"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firstLine="0"/>
        <w:keepLines w:val="1"/>
        <w:pBdr>
          <w:left w:val="single" w:sz="24" w:space="12"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firstLine="0"/>
        <w:keepLines w:val="1"/>
        <w:pBdr>
          <w:left w:val="single" w:sz="24" w:space="12"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keepNext/>
        <w:spacing w:before="0" w:after="240"/>
      </w:pPr>
      <w:r>
        <w:rPr>
          <w:rFonts w:ascii="Garamond" w:hAnsi="Garamond"/>
          <w:b w:val="0"/>
          <w:color w:val="1A1A2E"/>
          <w:sz w:val="28"/>
        </w:rPr>
        <w:t>Chapitre 13c — Ouattara, Compaoré, Mobutu : portraits de la trahison instrumentalisée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firstLine="0"/>
        <w:keepLines w:val="1"/>
        <w:pBdr>
          <w:left w:val="single" w:sz="24" w:space="12" w:color="7B1E1E"/>
        </w:pBdr>
      </w:pPr>
      <w:r>
        <w:rPr>
          <w:i/>
          <w:sz w:val="21"/>
        </w:rPr>
        <w:t>« On a deux sommets à Accra. Le premier... cela contraindra le Mali et la Guinée. »</w:t>
      </w:r>
    </w:p>
    <w:p>
      <w:pPr>
        <w:widowControl w:val="1"/>
        <w:spacing w:before="0" w:after="200"/>
        <w:ind w:left="680" w:right="454" w:firstLine="0"/>
        <w:keepLines w:val="1"/>
      </w:pPr>
      <w:r>
        <w:rPr>
          <w:i/>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firstLine="0"/>
        <w:keepLines w:val="1"/>
        <w:pBdr>
          <w:left w:val="single" w:sz="24" w:space="12"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firstLine="0"/>
        <w:keepLines w:val="1"/>
      </w:pPr>
      <w:r>
        <w:rPr>
          <w:i/>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firstLine="0"/>
        <w:keepLines w:val="1"/>
        <w:pBdr>
          <w:left w:val="single" w:sz="24" w:space="12"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firstLine="0"/>
        <w:keepLines w:val="1"/>
      </w:pPr>
      <w:r>
        <w:rPr>
          <w:i/>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keepNext/>
        <w:spacing w:before="0" w:after="240"/>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0"/>
        <w:jc w:val="both"/>
      </w:pPr>
      <w:r>
        <w:rPr>
          <w:rFonts w:ascii="Garamond" w:eastAsia="Georgia" w:hAnsi="Garamond" w:cs="Georgi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sz w:val="22"/>
          <w:szCs w:val="22"/>
        </w:rPr>
        <w:t>u docteur</w:t>
      </w:r>
      <w:r>
        <w:rPr>
          <w:rFonts w:ascii="Garamond" w:eastAsia="Georgia" w:hAnsi="Garamond" w:cs="Georgi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sz w:val="22"/>
          <w:szCs w:val="22"/>
        </w:rPr>
        <w:t>Ntimba</w:t>
      </w:r>
      <w:r w:rsidR="00FA2838">
        <w:rPr>
          <w:rFonts w:ascii="Garamond" w:eastAsia="Georgia" w:hAnsi="Garamond" w:cs="Georgia"/>
          <w:sz w:val="22"/>
          <w:szCs w:val="22"/>
        </w:rPr>
        <w:t>.</w:t>
      </w:r>
      <w:r>
        <w:rPr>
          <w:rFonts w:ascii="Garamond" w:eastAsia="Georgia" w:hAnsi="Garamond" w:cs="Georgi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sz w:val="22"/>
          <w:szCs w:val="22"/>
        </w:rPr>
        <w:t>he</w:t>
      </w:r>
      <w:r>
        <w:rPr>
          <w:rFonts w:ascii="Garamond" w:eastAsia="Georgia" w:hAnsi="Garamond" w:cs="Georgi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2"/>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sz w:val="22"/>
          <w:szCs w:val="22"/>
        </w:rPr>
        <w:t xml:space="preserve">Le récit dominant présente les transitions sahéliennes comme des produits de la manipulation russe. Ce récit est démenti par la </w:t>
      </w:r>
      <w:r>
        <w:rPr>
          <w:rFonts w:ascii="Garamond" w:eastAsia="Georgia" w:hAnsi="Garamond" w:cs="Georgi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sz w:val="22"/>
          <w:szCs w:val="22"/>
        </w:rPr>
        <w:t>Choguel Kokalla Maïga</w:t>
      </w:r>
      <w:r>
        <w:rPr>
          <w:rFonts w:ascii="Garamond" w:eastAsia="Georgia" w:hAnsi="Garamond" w:cs="Georgi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sz w:val="22"/>
          <w:szCs w:val="22"/>
        </w:rPr>
        <w:t>La construction de l’AES, État par État</w:t>
      </w:r>
    </w:p>
    <w:p w14:paraId="6EF7267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0"/>
        <w:jc w:val="both"/>
      </w:pPr>
      <w:r>
        <w:rPr>
          <w:rFonts w:ascii="Garamond" w:eastAsia="Georgia" w:hAnsi="Garamond" w:cs="Georgi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200" w:line="312" w:lineRule="auto" w:before="200"/>
        <w:ind w:left="2160" w:firstLine="0"/>
        <w:jc w:val="center"/>
        <w:rPr>
          <w:b/>
          <w:bCs/>
          <w:color w:val="D99594" w:themeColor="accent2" w:themeTint="99"/>
          <w:sz w:val="22"/>
          <w:szCs w:val="22"/>
        </w:rPr>
      </w:pPr>
      <w:r w:rsidRPr="00D61B0B">
        <w:rPr>
          <w:rFonts w:ascii="Garamond" w:hAnsi="Garamond"/>
          <w:b w:val="0"/>
          <w:bCs/>
          <w:i w:val="0"/>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200" w:line="312" w:lineRule="auto" w:before="200"/>
        <w:ind w:left="2160" w:firstLine="0"/>
        <w:jc w:val="center"/>
        <w:rPr>
          <w:color w:val="D99594" w:themeColor="accent2" w:themeTint="99"/>
        </w:rPr>
      </w:pPr>
      <w:r w:rsidRPr="00D234DF">
        <w:rPr>
          <w:rFonts w:ascii="Garamond" w:hAnsi="Garamond"/>
          <w:b w:val="0"/>
          <w:bCs/>
          <w:i w:val="0"/>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0"/>
        <w:jc w:val="both"/>
      </w:pPr>
      <w:r>
        <w:rPr>
          <w:rFonts w:ascii="Garamond" w:eastAsia="Georgia" w:hAnsi="Garamond" w:cs="Georgi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 Mali est et restera Un et Indivisible. »</w:t>
      </w:r>
    </w:p>
    <w:p w14:paraId="0709DC4F"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0"/>
        <w:jc w:val="both"/>
      </w:pPr>
      <w:r>
        <w:rPr>
          <w:rFonts w:ascii="Garamond" w:eastAsia="Georgia" w:hAnsi="Garamond" w:cs="Georgi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Capitaine Ibrahim Traoré, Ibrahim Traoré, président du Faso, 2023</w:t>
      </w:r>
    </w:p>
    <w:p w14:paraId="6E5491BC"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0"/>
        <w:jc w:val="both"/>
      </w:pPr>
      <w:r>
        <w:rPr>
          <w:rFonts w:ascii="Garamond" w:eastAsia="Georgia" w:hAnsi="Garamond" w:cs="Georgi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widowControl w:val="1"/>
        <w:spacing w:before="160" w:after="40"/>
        <w:ind w:left="680" w:right="454" w:firstLine="0"/>
        <w:keepLines w:val="1"/>
        <w:pBdr>
          <w:left w:val="single" w:sz="24" w:space="12"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firstLine="0"/>
        <w:keepLines w:val="1"/>
      </w:pPr>
      <w:r>
        <w:rPr>
          <w:i/>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keepNext/>
        <w:spacing w:before="0" w:after="240"/>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0"/>
        <w:jc w:val="both"/>
      </w:pPr>
      <w:r>
        <w:rPr>
          <w:rFonts w:ascii="Garamond" w:eastAsia="Georgia" w:hAnsi="Garamond" w:cs="Georgi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sz w:val="22"/>
          <w:szCs w:val="22"/>
        </w:rPr>
        <w:t xml:space="preserve">La Force Unifiée de l’AES est portée à </w:t>
      </w:r>
      <w:r w:rsidR="006F0B1C">
        <w:rPr>
          <w:rFonts w:ascii="Garamond" w:eastAsia="Georgia" w:hAnsi="Garamond" w:cs="Georgia"/>
          <w:sz w:val="22"/>
          <w:szCs w:val="22"/>
        </w:rPr>
        <w:t>15</w:t>
      </w:r>
      <w:r>
        <w:rPr>
          <w:rFonts w:ascii="Garamond" w:eastAsia="Georgia" w:hAnsi="Garamond" w:cs="Georgi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0"/>
        <w:jc w:val="both"/>
      </w:pPr>
      <w:r>
        <w:rPr>
          <w:rFonts w:ascii="Garamond" w:eastAsia="Arial" w:hAnsi="Garamond" w:cs="Arial"/>
          <w:i/>
          <w:iCs/>
          <w:sz w:val="22"/>
          <w:szCs w:val="22"/>
        </w:rPr>
        <w:t>AES dans son environnement régional et global</w:t>
      </w:r>
    </w:p>
    <w:p w14:paraId="7057738F"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0"/>
        <w:jc w:val="both"/>
      </w:pPr>
      <w:r>
        <w:rPr>
          <w:rFonts w:ascii="Garamond" w:eastAsia="Georgia" w:hAnsi="Garamond" w:cs="Georgi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sz w:val="22"/>
          <w:szCs w:val="22"/>
        </w:rPr>
        <w:t>he</w:t>
      </w:r>
      <w:r>
        <w:rPr>
          <w:rFonts w:ascii="Garamond" w:eastAsia="Georgia" w:hAnsi="Garamond" w:cs="Georgi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0"/>
        <w:jc w:val="both"/>
      </w:pPr>
      <w:r>
        <w:rPr>
          <w:rFonts w:ascii="Garamond" w:eastAsia="Georgia" w:hAnsi="Garamond" w:cs="Georgi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sz w:val="22"/>
          <w:szCs w:val="22"/>
        </w:rPr>
        <w:t xml:space="preserve">communiqué conjoint </w:t>
      </w:r>
      <w:proofErr w:type="spellStart"/>
      <w:r>
        <w:rPr>
          <w:rFonts w:ascii="Garamond" w:eastAsia="Georgia" w:hAnsi="Garamond" w:cs="Georgia"/>
          <w:sz w:val="22"/>
          <w:szCs w:val="22"/>
        </w:rPr>
        <w:t>Teboun</w:t>
      </w:r>
      <w:proofErr w:type="spellEnd"/>
      <w:r>
        <w:rPr>
          <w:rFonts w:ascii="Garamond" w:eastAsia="Georgia" w:hAnsi="Garamond" w:cs="Georgi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firstLine="0"/>
        <w:keepLines w:val="1"/>
      </w:pPr>
      <w:r>
        <w:rPr>
          <w:i/>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firstLine="0"/>
        <w:keepLines w:val="1"/>
        <w:pBdr>
          <w:left w:val="single" w:sz="24" w:space="12"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firstLine="0"/>
        <w:keepLines w:val="1"/>
      </w:pPr>
      <w:r>
        <w:rPr>
          <w:i/>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keepNext/>
        <w:spacing w:before="0" w:after="240"/>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0"/>
        <w:jc w:val="both"/>
      </w:pPr>
      <w:r>
        <w:rPr>
          <w:rFonts w:ascii="Garamond" w:eastAsia="Georgia" w:hAnsi="Garamond" w:cs="Georgi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Fridolin Ngoulou, analyste centrafricain, Oubangui Médias</w:t>
      </w:r>
    </w:p>
    <w:p w14:paraId="295459DC"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2"/>
          <w:szCs w:val="24"/>
        </w:rPr>
        <w:t xml:space="preserve">Les </w:t>
      </w:r>
      <w:bookmarkStart w:id="1" w:name="_Hlk231831975"/>
      <w:r>
        <w:rPr>
          <w:rFonts w:ascii="Garamond" w:eastAsia="Arial" w:hAnsi="Garamond" w:cs="Arial"/>
          <w:b/>
          <w:bCs/>
          <w:color w:val="1A1A2E"/>
          <w:sz w:val="22"/>
          <w:szCs w:val="24"/>
        </w:rPr>
        <w:t>Émirats Arabes Unis </w:t>
      </w:r>
      <w:bookmarkEnd w:id="1"/>
      <w:r>
        <w:rPr>
          <w:rFonts w:ascii="Garamond" w:eastAsia="Arial" w:hAnsi="Garamond" w:cs="Arial"/>
          <w:b/>
          <w:bCs/>
          <w:color w:val="1A1A2E"/>
          <w:sz w:val="22"/>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sz w:val="22"/>
          <w:szCs w:val="22"/>
        </w:rPr>
        <w:t xml:space="preserve">Les faits établis par le rapport : les </w:t>
      </w:r>
      <w:r w:rsidR="00980F4F" w:rsidRPr="00980F4F">
        <w:rPr>
          <w:rFonts w:ascii="Garamond" w:eastAsia="Georgia" w:hAnsi="Garamond" w:cs="Georgia"/>
          <w:sz w:val="22"/>
          <w:szCs w:val="22"/>
        </w:rPr>
        <w:t>Émirats Arabes Unis</w:t>
      </w:r>
      <w:r>
        <w:rPr>
          <w:rFonts w:ascii="Garamond" w:eastAsia="Georgia" w:hAnsi="Garamond" w:cs="Georgi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Kurtz, Lacher, Roll, SWP Comment No. 19, mai 2026</w:t>
      </w:r>
    </w:p>
    <w:p w14:paraId="02FFB053"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firstLine="0"/>
        <w:keepLines w:val="1"/>
        <w:pBdr>
          <w:left w:val="single" w:sz="24" w:space="12"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firstLine="0"/>
        <w:keepLines w:val="1"/>
      </w:pPr>
      <w:r>
        <w:rPr>
          <w:i/>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firstLine="0"/>
        <w:keepLines w:val="1"/>
        <w:pBdr>
          <w:left w:val="single" w:sz="24" w:space="12"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firstLine="0"/>
        <w:keepLines w:val="1"/>
      </w:pPr>
      <w:r>
        <w:rPr>
          <w:i/>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keepNext/>
        <w:spacing w:before="0" w:after="240"/>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0"/>
        <w:jc w:val="both"/>
      </w:pPr>
      <w:r>
        <w:rPr>
          <w:rFonts w:ascii="Garamond" w:eastAsia="Georgia" w:hAnsi="Garamond" w:cs="Georgi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0"/>
        <w:jc w:val="both"/>
      </w:pPr>
      <w:r>
        <w:rPr>
          <w:rFonts w:ascii="Garamond" w:eastAsia="Georgia" w:hAnsi="Garamond" w:cs="Georgi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0"/>
        <w:jc w:val="both"/>
      </w:pPr>
      <w:r>
        <w:rPr>
          <w:rFonts w:ascii="Garamond" w:eastAsia="Arial" w:hAnsi="Garamond" w:cs="Arial"/>
          <w:i/>
          <w:iCs/>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0"/>
        <w:jc w:val="both"/>
      </w:pPr>
      <w:r>
        <w:rPr>
          <w:rFonts w:ascii="Garamond" w:eastAsia="Georgia" w:hAnsi="Garamond" w:cs="Georgi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Deux cas documentent l’armée fantôme depuis le terrain africain. Rémy Juan Quignolot : ancien sous-officier français, reconverti dans la </w:t>
      </w:r>
      <w:r>
        <w:rPr>
          <w:rFonts w:ascii="Garamond" w:eastAsia="Georgia" w:hAnsi="Garamond" w:cs="Georgi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0"/>
        <w:jc w:val="both"/>
      </w:pPr>
      <w:r>
        <w:rPr>
          <w:rFonts w:ascii="Garamond" w:eastAsia="Georgia" w:hAnsi="Garamond" w:cs="Georgi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sz w:val="22"/>
          <w:szCs w:val="22"/>
        </w:rPr>
        <w:t>De l’huile sur le feu</w:t>
      </w:r>
      <w:r>
        <w:rPr>
          <w:rFonts w:ascii="Garamond" w:eastAsia="Georgia" w:hAnsi="Garamond" w:cs="Georgi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7B1E1E"/>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before="0"/>
        <w:ind w:left="680" w:right="454" w:firstLine="0"/>
        <w:jc w:val="both"/>
        <w:rPr>
          <w:sz w:val="18"/>
          <w:szCs w:val="18"/>
        </w:rPr>
        <w:keepLines w:val="1"/>
      </w:pPr>
      <w:r w:rsidRPr="00D61B0B">
        <w:rPr>
          <w:rFonts w:ascii="Garamond" w:eastAsia="Georgia" w:hAnsi="Garamond" w:cs="Georgia"/>
          <w:i/>
          <w:sz w:val="19"/>
          <w:szCs w:val="18"/>
        </w:rPr>
        <w:t xml:space="preserve">— </w:t>
      </w:r>
      <w:r w:rsidRPr="00D61B0B">
        <w:rPr>
          <w:rFonts w:ascii="Garamond" w:eastAsia="Georgia" w:hAnsi="Garamond" w:cs="Georgia"/>
          <w:i/>
          <w:iCs/>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sz w:val="22"/>
          <w:szCs w:val="22"/>
        </w:rPr>
        <w:t>Granvaud</w:t>
      </w:r>
      <w:proofErr w:type="spellEnd"/>
      <w:r>
        <w:rPr>
          <w:rFonts w:ascii="Garamond" w:eastAsia="Georgia" w:hAnsi="Garamond" w:cs="Georgi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7B1E1E"/>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sz w:val="22"/>
          <w:szCs w:val="22"/>
        </w:rPr>
        <w:t>coïncide</w:t>
      </w:r>
      <w:r>
        <w:rPr>
          <w:rFonts w:ascii="Garamond" w:eastAsia="Georgia" w:hAnsi="Garamond" w:cs="Georgi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7B1E1E"/>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ind w:firstLine="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7B1E1E"/>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before="0"/>
        <w:ind w:left="680" w:right="454" w:firstLine="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“Autrefois, Paris parlait à l’Afrique. Désormais, elle doit convaincre l’Afrique.”</w:t>
      </w:r>
    </w:p>
    <w:p w14:paraId="79E5EB3D"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ind w:firstLine="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7B1E1E"/>
          <w:sz w:val="22"/>
        </w:rPr>
        <w:t>“La souveraineté mentale est la condition de la souveraineté militaire.”</w:t>
      </w:r>
    </w:p>
    <w:p w14:paraId="45D52F79"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200" w:line="312" w:lineRule="auto" w:before="200"/>
        <w:ind w:firstLine="0"/>
        <w:jc w:val="center"/>
      </w:pPr>
      <w:bookmarkStart w:id="2" w:name="_Hlk231837790"/>
      <w:r>
        <w:rPr>
          <w:rFonts w:ascii="Garamond" w:hAnsi="Garamond"/>
          <w:b w:val="0"/>
          <w:i w:val="0"/>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0"/>
        <w:jc w:val="both"/>
      </w:pPr>
      <w:r>
        <w:rPr>
          <w:rFonts w:ascii="Garamond" w:eastAsia="Georgia" w:hAnsi="Garamond" w:cs="Georgi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xml:space="preserve">— George Malbruno, </w:t>
      </w:r>
      <w:r w:rsidR="00DE5648">
        <w:rPr>
          <w:rFonts w:ascii="Garamond" w:eastAsia="Arial" w:hAnsi="Garamond" w:cs="Arial"/>
          <w:i/>
          <w:iCs/>
          <w:sz w:val="19"/>
          <w:szCs w:val="18"/>
        </w:rPr>
        <w:t>RTL,</w:t>
      </w:r>
      <w:r>
        <w:rPr>
          <w:rFonts w:ascii="Garamond" w:eastAsia="Arial" w:hAnsi="Garamond" w:cs="Arial"/>
          <w:i/>
          <w:iCs/>
          <w:sz w:val="19"/>
          <w:szCs w:val="18"/>
        </w:rPr>
        <w:t xml:space="preserve"> source sécuritaire française, 9 mai 2026</w:t>
      </w:r>
    </w:p>
    <w:p w14:paraId="29550A2E"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firstLine="0"/>
        <w:keepLines w:val="1"/>
        <w:pBdr>
          <w:left w:val="single" w:sz="24" w:space="12"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firstLine="0"/>
        <w:keepLines w:val="1"/>
        <w:pBdr>
          <w:left w:val="single" w:sz="24" w:space="12"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firstLine="0"/>
        <w:keepLines w:val="1"/>
        <w:pBdr>
          <w:left w:val="single" w:sz="24" w:space="12"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firstLine="0"/>
        <w:keepLines w:val="1"/>
      </w:pPr>
      <w:r>
        <w:rPr>
          <w:i/>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keepNext/>
        <w:spacing w:before="0" w:after="240"/>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0"/>
        <w:jc w:val="both"/>
      </w:pPr>
      <w:r>
        <w:rPr>
          <w:rFonts w:ascii="Garamond" w:eastAsia="Cardo" w:hAnsi="Garamond" w:cs="Cardo"/>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0"/>
        <w:jc w:val="both"/>
      </w:pPr>
      <w:r>
        <w:rPr>
          <w:rFonts w:ascii="Garamond" w:eastAsia="Georgia" w:hAnsi="Garamond" w:cs="Georgi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spacing w:before="200" w:after="200"/>
        <w:ind w:left="2160" w:firstLine="0"/>
        <w:jc w:val="center"/>
      </w:pPr>
      <w:r w:rsidRPr="0010645E">
        <w:rPr>
          <w:rFonts w:ascii="Garamond" w:hAnsi="Garamond" w:cs="Segoe UI Symbol"/>
          <w:b w:val="0"/>
          <w:i w:val="0"/>
          <w:color w:val="7B1E1E"/>
        </w:rPr>
        <w:t>★ ★ ★</w:t>
      </w:r>
      <w:r w:rsidR="00000000">
        <w:rPr>
          <w:b w:val="0"/>
          <w:i w:val="0"/>
          <w:color w:val="7B1E1E"/>
        </w:rPr>
      </w:r>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0"/>
        <w:jc w:val="both"/>
      </w:pPr>
      <w:r>
        <w:rPr>
          <w:rFonts w:ascii="Garamond" w:eastAsia="Arial" w:hAnsi="Garamond" w:cs="Arial"/>
          <w:i/>
          <w:iCs/>
          <w:sz w:val="22"/>
          <w:szCs w:val="22"/>
        </w:rPr>
        <w:t>Ce que le projet souverain doit surmonter</w:t>
      </w:r>
    </w:p>
    <w:p>
      <w:pPr>
        <w:pStyle w:val="Titre2"/>
        <w:pageBreakBefore/>
        <w:keepNext/>
        <w:spacing w:before="0" w:after="240"/>
      </w:pPr>
      <w:r>
        <w:rPr>
          <w:rFonts w:ascii="Garamond" w:hAnsi="Garamond"/>
          <w:b w:val="0"/>
          <w:color w:val="1A1A2E"/>
          <w:sz w:val="28"/>
        </w:rPr>
        <w:t>Chapitre 28b — L'Affaire Vésilier : Quand la Justice Africaine Tient Bon</w:t>
      </w:r>
    </w:p>
    <w:p>
      <w:pPr>
        <w:widowControl w:val="1"/>
        <w:spacing w:after="120" w:line="312" w:lineRule="auto" w:before="40"/>
        <w:ind w:firstLine="0"/>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before="160"/>
        <w:ind w:left="680" w:right="454" w:firstLine="0"/>
        <w:keepLines w:val="1"/>
        <w:pBdr>
          <w:left w:val="single" w:sz="24" w:space="12"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spacing w:before="0" w:after="200"/>
        <w:ind w:right="454" w:left="680" w:firstLine="0"/>
      </w:pPr>
      <w:r>
        <w:rPr>
          <w:i/>
          <w:sz w:val="19"/>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before="160"/>
        <w:ind w:left="680" w:right="454" w:firstLine="0"/>
        <w:keepLines w:val="1"/>
        <w:pBdr>
          <w:left w:val="single" w:sz="24" w:space="12"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spacing w:before="0" w:after="200"/>
        <w:ind w:right="454" w:left="680" w:firstLine="0"/>
      </w:pPr>
      <w:r>
        <w:rPr>
          <w:i/>
          <w:sz w:val="19"/>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before="160"/>
        <w:ind w:left="680" w:right="454" w:firstLine="0"/>
        <w:keepLines w:val="1"/>
        <w:pBdr>
          <w:left w:val="single" w:sz="24" w:space="12"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before="160"/>
        <w:ind w:left="680" w:right="454" w:firstLine="0"/>
        <w:keepLines w:val="1"/>
        <w:pBdr>
          <w:left w:val="single" w:sz="24" w:space="12"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spacing w:before="0" w:after="200"/>
        <w:ind w:right="454" w:left="680" w:firstLine="0"/>
      </w:pPr>
      <w:r>
        <w:rPr>
          <w:i/>
          <w:sz w:val="19"/>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before="160"/>
        <w:ind w:left="680" w:right="454" w:firstLine="0"/>
        <w:keepLines w:val="1"/>
        <w:pBdr>
          <w:left w:val="single" w:sz="24" w:space="12"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200" w:after="200"/>
        <w:ind w:firstLine="0"/>
        <w:jc w:val="center"/>
      </w:pPr>
      <w:r>
        <w:rPr>
          <w:b w:val="0"/>
          <w:i w:val="0"/>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29 — La menace jihadiste persistante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firstLine="0"/>
        <w:keepLines w:val="1"/>
        <w:pBdr>
          <w:left w:val="single" w:sz="24" w:space="12" w:color="7B1E1E"/>
        </w:pBdr>
      </w:pPr>
      <w:r>
        <w:rPr>
          <w:i/>
          <w:sz w:val="21"/>
        </w:rPr>
        <w:t>« Beaucoup de leurs réseaux ont infiltré la transition aujourd'hui. »</w:t>
      </w:r>
    </w:p>
    <w:p>
      <w:pPr>
        <w:widowControl w:val="1"/>
        <w:spacing w:before="0" w:after="200"/>
        <w:ind w:left="680" w:right="454" w:firstLine="0"/>
        <w:keepLines w:val="1"/>
      </w:pPr>
      <w:r>
        <w:rPr>
          <w:i/>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firstLine="0"/>
        <w:keepLines w:val="1"/>
        <w:pBdr>
          <w:left w:val="single" w:sz="24" w:space="12"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firstLine="0"/>
        <w:keepLines w:val="1"/>
      </w:pPr>
      <w:r>
        <w:rPr>
          <w:i/>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keepNext/>
        <w:spacing w:before="0" w:after="240"/>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0"/>
        <w:jc w:val="both"/>
      </w:pPr>
      <w:r>
        <w:rPr>
          <w:rFonts w:ascii="Garamond" w:eastAsia="Georgia" w:hAnsi="Garamond" w:cs="Georgi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454" w:firstLine="0"/>
        <w:jc w:val="both"/>
        <w:rPr>
          <w:color w:val="943634" w:themeColor="accent2" w:themeShade="BF"/>
        </w:rPr>
        <w:keepLines w:val="1"/>
        <w:pBdr>
          <w:left w:val="single" w:sz="24" w:space="12" w:color="7B1E1E"/>
        </w:pBdr>
      </w:pPr>
      <w:r w:rsidRPr="00F43B20">
        <w:rPr>
          <w:rFonts w:ascii="Garamond" w:eastAsia="Georgia" w:hAnsi="Garamond" w:cs="Georgia"/>
          <w:i/>
          <w:color w:val="7B1E1E"/>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before="0"/>
        <w:ind w:left="680" w:right="454" w:firstLine="0"/>
        <w:jc w:val="both"/>
        <w:rPr>
          <w:i/>
          <w:iCs/>
          <w:sz w:val="18"/>
          <w:szCs w:val="18"/>
        </w:rPr>
        <w:keepLines w:val="1"/>
      </w:pPr>
      <w:r w:rsidRPr="006A2584">
        <w:rPr>
          <w:rFonts w:ascii="Garamond" w:eastAsia="Georgia" w:hAnsi="Garamond" w:cs="Georgia"/>
          <w:i/>
          <w:iCs/>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 xml:space="preserve">Premier aveu : le </w:t>
      </w:r>
      <w:proofErr w:type="spellStart"/>
      <w:r>
        <w:rPr>
          <w:rFonts w:ascii="Garamond" w:eastAsia="Georgia" w:hAnsi="Garamond" w:cs="Georgia"/>
          <w:b/>
          <w:bCs/>
          <w:sz w:val="22"/>
          <w:szCs w:val="22"/>
        </w:rPr>
        <w:t>jihadisme</w:t>
      </w:r>
      <w:proofErr w:type="spellEnd"/>
      <w:r>
        <w:rPr>
          <w:rFonts w:ascii="Garamond" w:eastAsia="Georgia" w:hAnsi="Garamond" w:cs="Georgia"/>
          <w:b/>
          <w:bCs/>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Bazoum reconnaît que Wagner « est une préoccupation », qu’il y a des « chevaux de Troie » infiltrés, qu’il a arrêté un chef de parti politique </w:t>
      </w:r>
      <w:r>
        <w:rPr>
          <w:rFonts w:ascii="Garamond" w:eastAsia="Georgia" w:hAnsi="Garamond" w:cs="Georgi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0"/>
        <w:jc w:val="both"/>
      </w:pPr>
      <w:r>
        <w:rPr>
          <w:rFonts w:ascii="Garamond" w:eastAsia="Georgia" w:hAnsi="Garamond" w:cs="Georgi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2"/>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sz w:val="22"/>
          <w:szCs w:val="22"/>
        </w:rPr>
        <w:t>Ce que l’AES doit construire pour durer</w:t>
      </w:r>
    </w:p>
    <w:p w14:paraId="00320001" w14:textId="77777777" w:rsidR="0028409C" w:rsidRPr="0064189E" w:rsidRDefault="00000000">
      <w:pPr>
        <w:pStyle w:val="Titre2"/>
        <w:spacing w:before="0" w:after="240"/>
        <w:jc w:val="both"/>
        <w:rPr>
          <w:color w:val="A6A6A6" w:themeColor="background1" w:themeShade="A6"/>
        </w:rPr>
        <w:pageBreakBefore/>
        <w:keepNext/>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0"/>
        <w:jc w:val="both"/>
      </w:pPr>
      <w:r>
        <w:rPr>
          <w:rFonts w:ascii="Garamond" w:eastAsia="Georgia" w:hAnsi="Garamond" w:cs="Georgi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sz w:val="22"/>
          <w:szCs w:val="22"/>
        </w:rPr>
        <w:lastRenderedPageBreak/>
        <w:t>absent de tout monument officiel, sa municipalité informée trois mois après son décès. [</w:t>
      </w:r>
      <w:r w:rsidR="00A82CA8">
        <w:rPr>
          <w:rFonts w:ascii="Garamond" w:eastAsia="Georgia" w:hAnsi="Garamond" w:cs="Georgia"/>
          <w:sz w:val="22"/>
          <w:szCs w:val="22"/>
        </w:rPr>
        <w:t>Sources</w:t>
      </w:r>
      <w:r>
        <w:rPr>
          <w:rFonts w:ascii="Garamond" w:eastAsia="Georgia" w:hAnsi="Garamond" w:cs="Georgi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200" w:line="312" w:lineRule="auto" w:before="200"/>
        <w:ind w:left="2160" w:firstLine="0"/>
        <w:jc w:val="center"/>
        <w:rPr>
          <w:color w:val="943634" w:themeColor="accent2" w:themeShade="BF"/>
        </w:rPr>
      </w:pPr>
      <w:r w:rsidRPr="00A82CA8">
        <w:rPr>
          <w:rFonts w:ascii="Garamond" w:hAnsi="Garamond" w:cs="Segoe UI Symbol"/>
          <w:b w:val="0"/>
          <w:i w:val="0"/>
          <w:color w:val="7B1E1E"/>
        </w:rPr>
        <w:t>★ ★ ★</w:t>
      </w:r>
    </w:p>
    <w:p w14:paraId="0FC7460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szCs w:val="19"/>
              </w:rPr>
              <w:t>La dénonciation des conventions fiscales (2023) est le premier pas vers l’indépendance fiscale</w:t>
            </w:r>
          </w:p>
        </w:tc>
      </w:tr>
    </w:tbl>
    <w:p w14:paraId="524368DF"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firstLine="0"/>
        <w:keepLines w:val="1"/>
        <w:pBdr>
          <w:left w:val="single" w:sz="24" w:space="12"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firstLine="0"/>
        <w:keepLines w:val="1"/>
        <w:pBdr>
          <w:left w:val="single" w:sz="24" w:space="12"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firstLine="0"/>
        <w:keepLines w:val="1"/>
        <w:pBdr>
          <w:left w:val="single" w:sz="24" w:space="12"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firstLine="0"/>
        <w:keepLines w:val="1"/>
      </w:pPr>
      <w:r>
        <w:rPr>
          <w:i/>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keepNext/>
        <w:spacing w:before="0" w:after="240"/>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0"/>
        <w:jc w:val="both"/>
      </w:pPr>
      <w:r>
        <w:rPr>
          <w:rFonts w:ascii="Garamond" w:eastAsia="Georgia" w:hAnsi="Garamond" w:cs="Georgi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sz w:val="22"/>
          <w:szCs w:val="22"/>
        </w:rPr>
        <w:t xml:space="preserve">Ce qui est remarquable, c’est que le président Bazoum lui-même — adversaire institutionnel de l’AES, aujourd’hui en résidence surveillée — </w:t>
      </w:r>
      <w:r>
        <w:rPr>
          <w:rFonts w:ascii="Garamond" w:eastAsia="Georgia" w:hAnsi="Garamond" w:cs="Georgi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0"/>
        <w:jc w:val="both"/>
      </w:pPr>
      <w:r>
        <w:rPr>
          <w:rFonts w:ascii="Garamond" w:eastAsia="Georgia" w:hAnsi="Garamond" w:cs="Georgi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firstLine="0"/>
        <w:keepLines w:val="1"/>
        <w:pBdr>
          <w:left w:val="single" w:sz="24" w:space="12"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firstLine="0"/>
        <w:keepLines w:val="1"/>
      </w:pPr>
      <w:r>
        <w:rPr>
          <w:i/>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firstLine="0"/>
        <w:keepLines w:val="1"/>
        <w:pBdr>
          <w:left w:val="single" w:sz="24" w:space="12"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firstLine="0"/>
        <w:keepLines w:val="1"/>
      </w:pPr>
      <w:r>
        <w:rPr>
          <w:i/>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keepNext/>
        <w:spacing w:before="0" w:after="240"/>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36 — Sankara avait raison</w:t>
      </w:r>
    </w:p>
    <w:p w14:paraId="653D8297" w14:textId="77777777" w:rsidR="006E716F" w:rsidRDefault="00000000">
      <w:pPr>
        <w:widowControl w:val="1"/>
        <w:spacing w:after="120" w:line="312" w:lineRule="auto" w:before="40"/>
        <w:ind w:firstLine="0"/>
        <w:jc w:val="both"/>
      </w:pPr>
      <w:r>
        <w:rPr>
          <w:rFonts w:ascii="Garamond" w:eastAsia="Georgia" w:hAnsi="Garamond" w:cs="Georgi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0"/>
        <w:jc w:val="both"/>
      </w:pPr>
      <w:r>
        <w:rPr>
          <w:rFonts w:ascii="Garamond" w:eastAsia="Georgia" w:hAnsi="Garamond" w:cs="Georgi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sz w:val="22"/>
          <w:szCs w:val="22"/>
        </w:rPr>
        <w:t>[ Anatole</w:t>
      </w:r>
      <w:proofErr w:type="gramEnd"/>
      <w:r>
        <w:rPr>
          <w:rFonts w:ascii="Garamond" w:eastAsia="Georgia" w:hAnsi="Garamond" w:cs="Georgi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7B1E1E"/>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before="0"/>
        <w:ind w:left="680" w:right="454" w:firstLine="0"/>
        <w:keepLines w:val="1"/>
      </w:pPr>
      <w:r>
        <w:rPr>
          <w:rFonts w:ascii="Garamond" w:eastAsia="Arial" w:hAnsi="Garamond" w:cs="Arial"/>
          <w:i/>
          <w:iCs/>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37b — La Francophonie : le dernier empire</w:t>
      </w:r>
    </w:p>
    <w:p w14:paraId="004CC283" w14:textId="77777777" w:rsidR="0028409C" w:rsidRDefault="00000000">
      <w:pPr>
        <w:widowControl w:val="1"/>
        <w:spacing w:after="120" w:line="312" w:lineRule="auto" w:before="40"/>
        <w:ind w:firstLine="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sz w:val="22"/>
        </w:rPr>
        <w:t>“La francophonie prendra un jour le relais de la colonisation.”</w:t>
      </w:r>
    </w:p>
    <w:p w14:paraId="00243862" w14:textId="77777777" w:rsidR="0028409C" w:rsidRDefault="00000000" w:rsidP="000A4860">
      <w:pPr>
        <w:widowControl w:val="1"/>
        <w:spacing w:after="200" w:line="288" w:lineRule="auto" w:before="0"/>
        <w:ind w:left="680" w:right="454" w:firstLine="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7B1E1E"/>
          <w:sz w:val="22"/>
        </w:rPr>
        <w:t>“Autrefois, Paris parlait à l’Afrique. Désormais, elle doit convaincre l’Afrique.”</w:t>
      </w:r>
    </w:p>
    <w:p w14:paraId="003A8400" w14:textId="77777777" w:rsidR="0028409C"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18F0994"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0"/>
        <w:jc w:val="both"/>
      </w:pPr>
      <w:r>
        <w:rPr>
          <w:rFonts w:ascii="Garamond" w:eastAsia="Georgia" w:hAnsi="Garamond" w:cs="Georgi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ind w:firstLine="0"/>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2"/>
          <w:szCs w:val="26"/>
        </w:rPr>
        <w:t>La justice ne peut pas être évitée</w:t>
      </w:r>
    </w:p>
    <w:p w14:paraId="5922FE5D"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0"/>
        <w:jc w:val="both"/>
      </w:pPr>
      <w:r>
        <w:rPr>
          <w:rFonts w:ascii="Garamond" w:eastAsia="Georgia" w:hAnsi="Garamond" w:cs="Georgi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0"/>
        <w:jc w:val="both"/>
      </w:pPr>
      <w:r>
        <w:rPr>
          <w:rFonts w:ascii="Garamond" w:eastAsia="Georgia" w:hAnsi="Garamond" w:cs="Georgi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200" w:line="312" w:lineRule="auto" w:before="200"/>
        <w:ind w:left="2160" w:firstLine="0"/>
        <w:jc w:val="center"/>
        <w:rPr>
          <w:rFonts w:ascii="Garamond" w:hAnsi="Garamond"/>
          <w:b/>
          <w:bCs/>
          <w:color w:val="D99594" w:themeColor="accent2" w:themeTint="99"/>
          <w:sz w:val="22"/>
          <w:szCs w:val="22"/>
        </w:rPr>
      </w:pPr>
      <w:bookmarkStart w:id="3" w:name="_Hlk231330285"/>
      <w:r w:rsidRPr="00745E9D">
        <w:rPr>
          <w:rFonts w:ascii="Garamond" w:hAnsi="Garamond"/>
          <w:b w:val="0"/>
          <w:bCs/>
          <w:i w:val="0"/>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12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 xml:space="preserve">Raphaël Granvaud, De l’huile sur le feu (Lux Éditeur, 2024, collection Dossiers noirs / Survie) — Source investigative </w:t>
      </w:r>
      <w:r>
        <w:rPr>
          <w:rFonts w:ascii="Garamond" w:eastAsia="Georgia" w:hAnsi="Garamond" w:cs="Georgia"/>
          <w:b/>
          <w:bCs/>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200" w:line="288" w:lineRule="auto" w:before="200"/>
        <w:ind w:firstLine="0"/>
        <w:jc w:val="center"/>
        <w:rPr>
          <w:sz w:val="28"/>
          <w:szCs w:val="28"/>
        </w:rPr>
      </w:pPr>
      <w:r>
        <w:rPr>
          <w:rFonts w:ascii="Garamond" w:hAnsi="Garamond"/>
          <w:b w:val="0"/>
          <w:bCs/>
          <w:i w:val="0"/>
          <w:color w:val="7B1E1E"/>
          <w:sz w:val="24"/>
          <w:szCs w:val="56"/>
        </w:rPr>
        <w:t>★ ★ ★</w:t>
      </w:r>
      <w:r w:rsidR="00F50583">
        <w:rPr>
          <w:rFonts w:ascii="Garamond" w:hAnsi="Garamond"/>
          <w:b w:val="0"/>
          <w:bCs/>
          <w:i w:val="0"/>
          <w:color w:val="7B1E1E"/>
          <w:sz w:val="56"/>
          <w:szCs w:val="56"/>
        </w:rPr>
      </w:r>
      <w:r>
        <w:rPr>
          <w:rFonts w:ascii="Garamond" w:hAnsi="Garamond"/>
          <w:b w:val="0"/>
          <w:bCs/>
          <w:i w:val="0"/>
          <w:color w:val="7B1E1E"/>
          <w:sz w:val="56"/>
          <w:szCs w:val="56"/>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b w:val="0"/>
          <w:i w:val="0"/>
          <w:color w:val="7B1E1E"/>
          <w:sz w:val="28"/>
          <w:szCs w:val="28"/>
        </w:rPr>
      </w:r>
    </w:p>
    <w:p w14:paraId="2ED86905" w14:textId="77777777" w:rsidR="006E716F" w:rsidRDefault="00000000">
      <w:pPr>
        <w:widowControl w:val="1"/>
        <w:spacing w:before="160" w:after="40" w:line="276" w:lineRule="auto"/>
        <w:ind w:left="680" w:right="454" w:firstLine="0"/>
        <w:rPr>
          <w:rFonts w:ascii="Garamond" w:eastAsia="Arial" w:hAnsi="Garamond" w:cs="Arial"/>
          <w:i/>
          <w:iCs/>
          <w:color w:val="8B0000"/>
          <w:sz w:val="21"/>
        </w:rPr>
        <w:keepLines w:val="1"/>
        <w:pBdr>
          <w:left w:val="single" w:sz="24" w:space="12" w:color="7B1E1E"/>
        </w:pBdr>
      </w:pPr>
      <w:r>
        <w:rPr>
          <w:rFonts w:ascii="Garamond" w:eastAsia="Arial" w:hAnsi="Garamond" w:cs="Arial"/>
          <w:i/>
          <w:iCs/>
          <w:color w:val="7B1E1E"/>
          <w:sz w:val="21"/>
        </w:rPr>
        <w:t>« Restons vigilants. »</w:t>
      </w:r>
    </w:p>
    <w:p>
      <w:pPr>
        <w:widowControl w:val="1"/>
        <w:pStyle w:val="Normal"/>
        <w:spacing w:after="200" w:before="0"/>
        <w:ind w:left="680" w:right="454" w:firstLine="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120" w:line="312" w:lineRule="auto"/>
        <w:ind w:left="680"/>
        <w:jc w:val="both"/>
      </w:pPr>
      <w:r>
        <w:rPr>
          <w:rFonts w:ascii="Garamond" w:eastAsia="Arial" w:hAnsi="Garamond" w:cs="Arial"/>
          <w:i/>
          <w:iCs/>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firstLine="0"/>
        <w:keepLines w:val="1"/>
        <w:pBdr>
          <w:left w:val="single" w:sz="24" w:space="12"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200" w:after="200"/>
        <w:ind w:firstLine="0"/>
        <w:jc w:val="center"/>
      </w:pPr>
      <w:r>
        <w:rPr>
          <w:b w:val="0"/>
          <w:i w:val="0"/>
          <w:color w:val="7B1E1E"/>
        </w:rPr>
        <w:t>★ ★ ★</w:t>
      </w:r>
    </w:p>
    <w:p>
      <w:pPr>
        <w:widowControl w:val="1"/>
        <w:spacing w:before="200" w:after="200"/>
        <w:ind w:firstLine="0"/>
        <w:jc w:val="center"/>
      </w:pPr>
      <w:r>
        <w:rPr>
          <w:b w:val="0"/>
          <w:i w:val="0"/>
          <w:color w:val="7B1E1E"/>
        </w:rPr>
        <w:t>★ ★ ★</w:t>
      </w:r>
    </w:p>
    <w:sectPr w:rsidR="006E716F" w:mirrorMargins="1">
      <w:headerReference w:type="even" r:id="rId6"/>
      <w:headerReference w:type="default" r:id="rId7"/>
      <w:footerReference w:type="default" r:id="rId10"/>
      <w:footerReference w:type="even" r:id="rId11"/>
      <w:headerReference w:type="first" r:id="rId12"/>
      <w:footerReference w:type="first" r:id="rId13"/>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 PAGE ">
      <w:r>
        <w:rPr>
          <w:rFonts w:ascii="Garamond" w:hAnsi="Garamond"/>
          <w:sz w:val="18"/>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 PAGE ">
      <w:r>
        <w:rPr>
          <w:rFonts w:ascii="Garamond" w:hAnsi="Garamond"/>
          <w:sz w:val="18"/>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spacing w:after="0"/>
      <w:jc w:val="center"/>
    </w:pPr>
    <w:r/>
    <w:r>
      <w:rPr>
        <w:rFonts w:ascii="Garamond" w:hAnsi="Garamond"/>
        <w:i/>
        <w:color w:val="1A1A2E"/>
        <w:sz w:val="18"/>
      </w:rPr>
      <w:t>BEN–H2O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spacing w:after="0"/>
      <w:jc w:val="center"/>
    </w:pPr>
    <w:r/>
    <w:r>
      <w:rPr>
        <w:rFonts w:ascii="Garamond" w:hAnsi="Garamond"/>
        <w:i/>
        <w:color w:val="1A1A2E"/>
        <w:sz w:val="18"/>
      </w:rPr>
      <w:t>LA PAIX, ON PEUT L'ÉVITER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