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widowControl w:val="1"/>
        <w:spacing w:after="120" w:line="312" w:lineRule="auto" w:before="960"/>
        <w:ind w:firstLine="0"/>
        <w:jc w:val="both"/>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ind w:firstLine="0"/>
        <w:jc w:val="center"/>
      </w:pPr>
      <w:r>
        <w:rPr>
          <w:rFonts w:ascii="Garamond" w:eastAsia="Arial" w:hAnsi="Garamond" w:cs="Arial"/>
          <w:b/>
          <w:bCs/>
          <w:i w:val="0"/>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 w:line="312" w:lineRule="auto"/>
        <w:ind w:firstLine="0"/>
        <w:jc w:val="both"/>
        <w:rPr>
          <w:color w:val="888888"/>
        </w:rPr>
        <w:widowControl w:val="1"/>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ind w:firstLine="0"/>
        <w:jc w:val="center"/>
      </w:pPr>
      <w:r>
        <w:rPr>
          <w:rFonts w:ascii="Garamond" w:eastAsia="Arial" w:hAnsi="Garamond" w:cs="Arial"/>
          <w:b/>
          <w:i w:val="0"/>
          <w:iCs/>
          <w:color w:val="1A1A2E"/>
          <w:sz w:val="30"/>
        </w:rPr>
        <w:t xml:space="preserve"> BEN–H2O</w:t>
      </w:r>
    </w:p>
    <w:p w14:paraId="55A10651" w14:textId="77777777" w:rsidR="006E716F" w:rsidRDefault="000B473B" w:rsidP="00F23DDB">
      <w:pPr>
        <w:spacing w:after="200" w:line="312" w:lineRule="auto" w:before="0"/>
        <w:ind w:right="454" w:left="680" w:firstLine="0"/>
        <w:jc w:val="center"/>
      </w:pPr>
      <w:r>
        <w:rPr>
          <w:rFonts w:ascii="Garamond" w:eastAsia="Arial" w:hAnsi="Garamond" w:cs="Arial"/>
          <w:b w:val="0"/>
          <w:i/>
          <w:iCs/>
          <w:color w:val="7B1E1E"/>
          <w:sz w:val="19"/>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160" w:after="40" w:line="276" w:lineRule="auto"/>
        <w:ind w:left="680" w:right="454" w:firstLine="0"/>
        <w:pageBreakBefore/>
        <w:pBdr>
          <w:left w:val="single" w:sz="24" w:space="12"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widowControl w:val="1"/>
        <w:pBdr>
          <w:bottom w:val="single" w:sz="6" w:space="6" w:color="C8A951"/>
        </w:pBdr>
        <w:spacing w:before="480" w:after="120" w:line="312" w:lineRule="auto"/>
        <w:ind w:firstLine="0"/>
        <w:jc w:val="both"/>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ind w:firstLine="0"/>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I — CE QUE LA FRANCE A EFFACÉ</w:t>
      </w:r>
    </w:p>
    <w:p w14:paraId="0261844D"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 — Les empires africains précoloniaux</w:t>
      </w:r>
    </w:p>
    <w:p w14:paraId="721D2D2D"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 — La conquête coloniale et ses résistances</w:t>
      </w:r>
    </w:p>
    <w:p w14:paraId="645B01D2"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II — L'EMPIRE DU MENSONGE</w:t>
      </w:r>
    </w:p>
    <w:p w14:paraId="7D8FFAFB"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4 — Le pacte colonial camouflé</w:t>
      </w:r>
    </w:p>
    <w:p w14:paraId="179C790E"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4b — La chaîne du pillage : Elf, les mallettes et les tribunaux</w:t>
      </w:r>
    </w:p>
    <w:p w14:paraId="68DCC9F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5 — La machine extractive : CFA, uranium, or, pétrole</w:t>
      </w:r>
    </w:p>
    <w:p w14:paraId="68DCC9F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5b — Décolonisation économique : nationalisation, protectionnisme et la sortie du franc CFA</w:t>
      </w:r>
    </w:p>
    <w:p w14:paraId="793C747F"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6 — L'aide publique au développement : arnaque documentée</w:t>
      </w:r>
    </w:p>
    <w:p w14:paraId="793C747F"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6b — Le FMI, la Banque mondiale et les assassins financiers</w:t>
      </w:r>
    </w:p>
    <w:p w14:paraId="1F4E2AB1"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7 — Barkhane ou la guerre comme service après-vente</w:t>
      </w:r>
    </w:p>
    <w:p w14:paraId="14C89A33"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III — CE QUE LA FRANCE ADMET EN PRIVÉ</w:t>
      </w:r>
    </w:p>
    <w:p w14:paraId="72D750E2"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9 — Les aveux institutionnels français</w:t>
      </w:r>
    </w:p>
    <w:p w14:paraId="4946DCD8"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10 — La doctrine de propagande : aveu d'Anne-Sophie Avé</w:t>
      </w:r>
    </w:p>
    <w:p w14:paraId="3E93364A"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IV — LES TROIS COURONNES DE LA TRAHISON</w:t>
      </w:r>
    </w:p>
    <w:p w14:paraId="3C12D9CF"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12 — La CEDEAO comme instrument</w:t>
      </w:r>
    </w:p>
    <w:p w14:paraId="3A3AA4C1"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13 — Les élites compradore</w:t>
      </w:r>
    </w:p>
    <w:p w14:paraId="3A3AA4C1"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13b — Impérialisme, nazisme et la mécanique de la division africaine</w:t>
      </w:r>
    </w:p>
    <w:p w14:paraId="3A3AA4C1"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13c — Ouattara, Compaoré, Mobutu : portraits de la trahison instrumentalisée</w:t>
      </w:r>
    </w:p>
    <w:p w14:paraId="3A3AA4C1"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V — LES FILS DE LIPTAKO-GOURMA</w:t>
      </w:r>
    </w:p>
    <w:p w14:paraId="76C8917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15 — La fabrique du terrorisme au Sahel</w:t>
      </w:r>
    </w:p>
    <w:p w14:paraId="0781133E"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16 — Mali : la première rupture</w:t>
      </w:r>
    </w:p>
    <w:p w14:paraId="7DCBEDFD"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17 — Burkina Faso : le MPSR et la doctrine Traoré</w:t>
      </w:r>
    </w:p>
    <w:p w14:paraId="1375F328"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18 — Niger : le CNSP et le verrou final</w:t>
      </w:r>
    </w:p>
    <w:p w14:paraId="1375F328"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18b — La base d'Agadez : un accord imposé sans le consentement du Niger</w:t>
      </w:r>
    </w:p>
    <w:p w14:paraId="2EFDFCE8"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VI — LA GÉOPOLITIQUE DE LA RUPTURE</w:t>
      </w:r>
    </w:p>
    <w:p w14:paraId="2BD2F32F"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20 — Le Tchad : Mahamat Déby entre deux feux</w:t>
      </w:r>
    </w:p>
    <w:p w14:paraId="56C8268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21 — L'Algérie : médiateur ambigu</w:t>
      </w:r>
    </w:p>
    <w:p w14:paraId="56C8268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21b — L'Algérie et le Mali : de la fraternité anticoloniale à la trahison</w:t>
      </w:r>
    </w:p>
    <w:p w14:paraId="577A8AFD" w14:textId="387A056D"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22 — Russie, Chine, Turquie : partenaires ou nouveaux maîtres ?</w:t>
      </w:r>
    </w:p>
    <w:p w14:paraId="577A8AFD" w14:textId="387A056D"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22b — La Turquie et le Sahel : Erdoğan, les Bayraktar et la diplomatie du partenaire non-colonial</w:t>
      </w:r>
    </w:p>
    <w:p w14:paraId="1333017A"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23 — Les États-Unis face à la recomposition</w:t>
      </w:r>
    </w:p>
    <w:p w14:paraId="26CC5893"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VII — LA GUERRE PROXY</w:t>
      </w:r>
    </w:p>
    <w:p w14:paraId="73C966F9"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25 — L'armée fantôme de Paris</w:t>
      </w:r>
    </w:p>
    <w:p w14:paraId="10805B24" w14:textId="3C2EFA98"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25b — Le renseignement comme arme de guerre : barbouzes, ESSD et guerre secrète en Afrique</w:t>
      </w:r>
    </w:p>
    <w:p w14:paraId="0EE00001" w14:textId="0CF6D0E4" w:rsidR="0028409C" w:rsidRDefault="00156718" w:rsidP="00156718">
      <w:pPr>
        <w:widowControl w:val="1"/>
        <w:spacing w:after="0" w:before="60" w:line="312" w:lineRule="auto"/>
        <w:ind w:left="850" w:firstLine="0"/>
        <w:jc w:val="both"/>
      </w:pPr>
      <w:r>
        <w:rPr>
          <w:rFonts w:ascii="Garamond" w:hAnsi="Garamond"/>
          <w:b w:val="0"/>
        </w:rPr>
      </w:r>
      <w:r w:rsidR="00000000">
        <w:rPr>
          <w:rFonts w:ascii="Garamond" w:hAnsi="Garamond"/>
          <w:b w:val="0"/>
        </w:rPr>
        <w:t>Chapitre 25c — Les ONG : le visage charitable de la guerre</w:t>
      </w:r>
    </w:p>
    <w:p w14:paraId="0EE00002" w14:textId="0B76F85B" w:rsidR="0028409C" w:rsidRDefault="00156718" w:rsidP="00156718">
      <w:pPr>
        <w:widowControl w:val="1"/>
        <w:spacing w:after="0" w:before="60" w:line="312" w:lineRule="auto"/>
        <w:ind w:left="850" w:firstLine="0"/>
        <w:jc w:val="both"/>
      </w:pPr>
      <w:r>
        <w:rPr>
          <w:rFonts w:ascii="Garamond" w:hAnsi="Garamond"/>
          <w:b w:val="0"/>
        </w:rPr>
      </w:r>
      <w:r w:rsidR="00000000">
        <w:rPr>
          <w:rFonts w:ascii="Garamond" w:hAnsi="Garamond"/>
          <w:b w:val="0"/>
        </w:rPr>
        <w:t>Chapitre 25d — La CPI : justice universelle ou justice à sens unique ?</w:t>
      </w:r>
    </w:p>
    <w:p w14:paraId="0EE00003" w14:textId="70CB5D6A" w:rsidR="0028409C" w:rsidRDefault="00156718" w:rsidP="00156718">
      <w:pPr>
        <w:widowControl w:val="1"/>
        <w:spacing w:after="0" w:before="60" w:line="312" w:lineRule="auto"/>
        <w:ind w:left="850" w:firstLine="0"/>
        <w:jc w:val="both"/>
      </w:pPr>
      <w:r>
        <w:rPr>
          <w:rFonts w:ascii="Garamond" w:hAnsi="Garamond"/>
          <w:b w:val="0"/>
        </w:rPr>
        <w:t>Chapitre 25e — La diaspora en guerre : du vecteur d’influence au front de résistance</w:t>
      </w:r>
      <w:r w:rsidR="00000000">
        <w:rPr>
          <w:rFonts w:ascii="Garamond" w:hAnsi="Garamond"/>
          <w:b w:val="0"/>
        </w:rPr>
      </w:r>
    </w:p>
    <w:p w14:paraId="0EE00004" w14:textId="243F8942" w:rsidR="0028409C" w:rsidRDefault="00156718" w:rsidP="00156718">
      <w:pPr>
        <w:widowControl w:val="1"/>
        <w:spacing w:after="0" w:before="60" w:line="312" w:lineRule="auto"/>
        <w:ind w:left="850" w:firstLine="0"/>
        <w:jc w:val="both"/>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26 — Sadio Camara : de l'architecte à la cible</w:t>
      </w:r>
    </w:p>
    <w:p w14:paraId="27353126"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26b — Tinzawaten : l'Ukraine comme plateforme de la guerre proxy au Sahel</w:t>
      </w:r>
    </w:p>
    <w:p w14:paraId="3EAB33B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27 — Les attaques du 25 avril 2026</w:t>
      </w:r>
    </w:p>
    <w:p w14:paraId="48EB635F"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VIII — LES DÉFIS INTERNES DE L'AES</w:t>
      </w:r>
    </w:p>
    <w:p>
      <w:pPr>
        <w:widowControl w:val="1"/>
        <w:spacing w:after="0" w:before="60" w:line="312" w:lineRule="auto"/>
        <w:ind w:left="850" w:firstLine="0"/>
        <w:jc w:val="both"/>
      </w:pPr>
      <w:r>
        <w:rPr>
          <w:rFonts w:ascii="Garamond" w:hAnsi="Garamond"/>
          <w:b w:val="0"/>
        </w:rPr>
        <w:t>Chapitre 28b — L'Affaire Vésilier : Quand la Justice Africaine Tient Bon</w:t>
      </w:r>
    </w:p>
    <w:p w14:paraId="56434F7D"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29 — La menace jihadiste persistante</w:t>
      </w:r>
    </w:p>
    <w:p w14:paraId="56434F7D"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29b — La vraie question démocratique dans l'AES : légitimité, institutions et infiltration</w:t>
      </w:r>
    </w:p>
    <w:p/>
    <w:p>
      <w:pPr>
        <w:pStyle w:val="Normal"/>
        <w:widowControl w:val="1"/>
        <w:spacing w:before="60" w:after="0" w:line="312" w:lineRule="auto"/>
        <w:ind w:left="850" w:firstLine="0"/>
        <w:jc w:val="both"/>
      </w:pPr>
      <w:r>
        <w:rPr>
          <w:b w:val="0"/>
        </w:rPr>
        <w:t>Chapitre 30 — Bazoum sans le savoir : les aveux involontaires du dernier compradore</w:t>
      </w:r>
    </w:p>
    <w:p w14:paraId="0557B437"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widowControl w:val="1"/>
        <w:spacing w:after="80" w:before="240" w:line="312" w:lineRule="auto"/>
        <w:ind w:left="0" w:firstLine="0"/>
        <w:jc w:val="both"/>
        <w:rPr>
          <w:rFonts w:ascii="Garamond" w:hAnsi="Garamond"/>
        </w:rPr>
      </w:pPr>
      <w:r>
        <w:rPr>
          <w:rFonts w:ascii="Garamond" w:hAnsi="Garamond"/>
          <w:b/>
          <w:bCs/>
          <w:sz w:val="22"/>
        </w:rPr>
        <w:t>PARTIE IX — L'HORIZON SOUVERAIN</w:t>
      </w:r>
    </w:p>
    <w:p w14:paraId="00320000" w14:textId="77777777" w:rsidR="0028409C" w:rsidRDefault="00000000">
      <w:pPr>
        <w:widowControl w:val="1"/>
        <w:spacing w:after="0" w:before="60" w:line="312" w:lineRule="auto"/>
        <w:ind w:left="850" w:firstLine="0"/>
        <w:jc w:val="both"/>
        <w:rPr>
          <w:rFonts w:ascii="Garamond" w:hAnsi="Garamond"/>
        </w:rPr>
      </w:pPr>
      <w:r>
        <w:rPr>
          <w:rFonts w:ascii="Garamond" w:hAnsi="Garamond"/>
          <w:b w:val="0"/>
        </w:rPr>
        <w:t>Chapitre 32 — Les morts de Barkhane : autopsie d’un mensonge d’État</w:t>
      </w:r>
    </w:p>
    <w:p w14:paraId="4D24DD7C"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33 — La monnaie : briser la chaîne du CFA</w:t>
      </w:r>
    </w:p>
    <w:p w14:paraId="4D24DD7C"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33b — La RCA et le Sango : le bitcoin comme arme de souveraineté monétaire</w:t>
      </w:r>
    </w:p>
    <w:p w14:paraId="1A51B8CA"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34 — L'armée fédérale sahélienne</w:t>
      </w:r>
    </w:p>
    <w:p w14:paraId="4C2ACF96"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35 — La diaspora comme force stratégique</w:t>
      </w:r>
    </w:p>
    <w:p w14:paraId="4C2ACF96"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35b — L'éducation comme arme de souveraineté</w:t>
      </w:r>
    </w:p>
    <w:p w14:paraId="216A7BCB"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36 — Sankara avait raison</w:t>
      </w:r>
    </w:p>
    <w:p w14:paraId="0D1BED78"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37 — France-Afrique 2.0 : la recomposition de la domination</w:t>
      </w:r>
    </w:p>
    <w:p w14:paraId="0EE00005" w14:textId="6A21F62B" w:rsidR="0028409C" w:rsidRDefault="00156718" w:rsidP="00156718">
      <w:pPr>
        <w:widowControl w:val="1"/>
        <w:spacing w:after="0" w:before="60" w:line="312" w:lineRule="auto"/>
        <w:ind w:left="850" w:firstLine="0"/>
        <w:jc w:val="both"/>
      </w:pPr>
      <w:r>
        <w:rPr>
          <w:rFonts w:ascii="Garamond" w:hAnsi="Garamond"/>
          <w:b w:val="0"/>
        </w:rPr>
      </w:r>
      <w:r w:rsidR="00000000">
        <w:rPr>
          <w:rFonts w:ascii="Garamond" w:hAnsi="Garamond"/>
          <w:b w:val="0"/>
        </w:rPr>
        <w:t>Chapitre 37b — La Francophonie : le dernier empire</w:t>
      </w:r>
    </w:p>
    <w:p w14:paraId="0371DC74"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t>ÉPILOGUE</w:t>
      </w:r>
    </w:p>
    <w:p w14:paraId="7DDCB7C2"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40 — L'arrogance comme doctrine : le mépris occidental en Afrique</w:t>
      </w:r>
    </w:p>
    <w:p w14:paraId="17827C39" w14:textId="77777777" w:rsidR="00124B22" w:rsidRPr="00F01E86" w:rsidRDefault="00000000">
      <w:pPr>
        <w:widowControl w:val="1"/>
        <w:spacing w:after="0" w:before="60" w:line="312" w:lineRule="auto"/>
        <w:ind w:left="850" w:firstLine="0"/>
        <w:jc w:val="both"/>
        <w:rPr>
          <w:rFonts w:ascii="Garamond" w:hAnsi="Garamond"/>
        </w:rPr>
      </w:pPr>
      <w:r>
        <w:rPr>
          <w:rFonts w:ascii="Garamond" w:hAnsi="Garamond"/>
          <w:b w:val="0"/>
        </w:rPr>
        <w:t>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200" w:before="200"/>
        <w:ind w:left="2160" w:firstLine="0"/>
        <w:jc w:val="center"/>
        <w:rPr>
          <w:color w:val="943634" w:themeColor="accent2" w:themeShade="BF"/>
        </w:rPr>
      </w:pPr>
      <w:r w:rsidRPr="00DB2B9E">
        <w:rPr>
          <w:b w:val="0"/>
          <w:i w:val="0"/>
          <w:color w:val="7B1E1E"/>
        </w:rPr>
        <w:t>★ ★ ★</w:t>
      </w:r>
    </w:p>
    <w:p w14:paraId="14EBC48A" w14:textId="77777777" w:rsidR="00124B22" w:rsidRDefault="00124B22">
      <w:pPr>
        <w:spacing w:after="60"/>
      </w:pPr>
    </w:p>
    <w:p w14:paraId="33DF972F" w14:textId="77777777" w:rsidR="006E716F" w:rsidRDefault="00000000">
      <w:pPr>
        <w:keepNext/>
        <w:pageBreakBefore/>
        <w:spacing w:before="240" w:after="80" w:line="312" w:lineRule="auto"/>
        <w:ind w:left="0" w:firstLine="0"/>
        <w:jc w:val="both"/>
        <w:widowControl w:val="1"/>
        <w:pBdr>
          <w:bottom w:val="single" w:sz="8" w:space="8" w:color="C8A951"/>
        </w:pBdr>
      </w:pPr>
      <w:r>
        <w:rPr>
          <w:rFonts w:ascii="Garamond" w:eastAsia="Arial" w:hAnsi="Garamond" w:cs="Arial"/>
          <w:b/>
          <w:bCs/>
          <w:color w:val="1A1A2E"/>
          <w:sz w:val="34"/>
          <w:szCs w:val="32"/>
        </w:rPr>
        <w:t>PROLOGUE — La villa de Niamey</w:t>
      </w:r>
    </w:p>
    <w:p w14:paraId="23B7B0A1"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widowControl w:val="1"/>
        <w:spacing w:before="240" w:after="120" w:line="312" w:lineRule="auto"/>
        <w:jc w:val="both"/>
      </w:pPr>
      <w:r>
        <w:rPr>
          <w:rFonts w:ascii="Garamond" w:eastAsia="Georgia" w:hAnsi="Garamond" w:cs="Georgia"/>
          <w:b/>
          <w:bCs/>
          <w:color w:val="1A1A2E"/>
          <w:sz w:val="24"/>
          <w:szCs w:val="24"/>
        </w:rPr>
        <w:t>La paix, on peut l’éviter.</w:t>
      </w:r>
    </w:p>
    <w:p w14:paraId="6B439BE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240" w:after="80" w:line="312" w:lineRule="auto"/>
        <w:ind w:left="0" w:firstLine="0"/>
        <w:jc w:val="both"/>
        <w:rPr>
          <w:color w:val="1A1A1A"/>
        </w:rPr>
        <w:widowControl w:val="1"/>
        <w:pBdr>
          <w:bottom w:val="single" w:sz="8" w:space="8" w:color="C8A951"/>
        </w:pBdr>
      </w:pPr>
      <w:r>
        <w:rPr>
          <w:rFonts w:ascii="Garamond" w:eastAsia="Arial" w:hAnsi="Garamond" w:cs="Arial"/>
          <w:b/>
          <w:bCs/>
          <w:color w:val="1A1A2E"/>
          <w:sz w:val="34"/>
          <w:szCs w:val="30"/>
        </w:rPr>
        <w:t>INTRODUCTION — Pourquoi l’AES change tout</w:t>
      </w:r>
    </w:p>
    <w:p w14:paraId="6E3108F3"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widowControl w:val="1"/>
        <w:spacing w:after="12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firstLine="0"/>
        <w:pBdr>
          <w:left w:val="single" w:sz="24" w:space="12"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spacing w:before="200" w:after="200"/>
        <w:ind w:left="2160" w:firstLine="0"/>
        <w:jc w:val="center"/>
      </w:pPr>
      <w:bookmarkStart w:id="0" w:name="_Hlk231332993"/>
      <w:r w:rsidRPr="00021DCF">
        <w:rPr>
          <w:rFonts w:ascii="Garamond" w:hAnsi="Garamond" w:cs="Garamond"/>
          <w:b w:val="0"/>
          <w:i w:val="0"/>
          <w:color w:val="7B1E1E"/>
        </w:rPr>
        <w:t>★ ★ ★</w:t>
      </w:r>
      <w:r w:rsidRPr="00021DCF">
        <w:rPr>
          <w:b w:val="0"/>
          <w:i w:val="0"/>
          <w:color w:val="7B1E1E"/>
        </w:rPr>
      </w:r>
      <w:r w:rsidRPr="00021DCF">
        <w:rPr>
          <w:rFonts w:ascii="Garamond" w:hAnsi="Garamond" w:cs="Garamond"/>
          <w:b w:val="0"/>
          <w:i w:val="0"/>
          <w:color w:val="7B1E1E"/>
        </w:rPr>
      </w:r>
      <w:r w:rsidRPr="00021DCF">
        <w:rPr>
          <w:b w:val="0"/>
          <w:i w:val="0"/>
          <w:color w:val="7B1E1E"/>
        </w:rPr>
      </w:r>
      <w:r w:rsidRPr="00021DCF">
        <w:rPr>
          <w:rFonts w:ascii="Garamond" w:hAnsi="Garamond" w:cs="Garamond"/>
          <w:b w:val="0"/>
          <w:i w:val="0"/>
          <w:color w:val="7B1E1E"/>
        </w:rPr>
      </w:r>
      <w:bookmarkEnd w:id="0"/>
      <w:r>
        <w:rPr>
          <w:b w:val="0"/>
          <w:i w:val="0"/>
          <w:color w:val="7B1E1E"/>
        </w:rPr>
      </w:r>
    </w:p>
    <w:p w14:paraId="4BEEE568" w14:textId="77777777" w:rsidR="006E716F" w:rsidRDefault="00000000">
      <w:r>
        <w:lastRenderedPageBreak/>
        <w:br w:type="page"/>
      </w:r>
    </w:p>
    <w:p w14:paraId="26E3B2E8" w14:textId="77777777" w:rsidR="006E716F" w:rsidRDefault="00000000">
      <w:pPr>
        <w:pageBreakBefore/>
        <w:spacing w:before="240" w:after="80" w:line="288" w:lineRule="auto"/>
        <w:ind w:left="0" w:firstLine="0"/>
        <w:jc w:val="center"/>
        <w:rPr>
          <w:color w:val="888888"/>
        </w:rPr>
      </w:pPr>
      <w:r>
        <w:rPr>
          <w:rFonts w:ascii="Garamond" w:eastAsia="Arial" w:hAnsi="Garamond" w:cs="Arial"/>
          <w:b/>
          <w:bCs/>
          <w:color w:val="1A1A2E"/>
          <w:sz w:val="24"/>
          <w:szCs w:val="24"/>
        </w:rPr>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 — Les empires africains précoloniaux</w:t>
      </w:r>
    </w:p>
    <w:p w14:paraId="1277AF8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spacing w:before="0" w:after="200" w:line="276" w:lineRule="auto"/>
        <w:ind w:left="680" w:right="454" w:firstLine="0"/>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0"/>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Loïk Le Floch-Prigent ancien dirigeant d’Elf</w:t>
      </w:r>
    </w:p>
    <w:p w14:paraId="2A74E8C0"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1B2F15C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firstLine="0"/>
        <w:keepLines w:val="1"/>
        <w:pBdr>
          <w:left w:val="single" w:sz="24" w:space="12"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firstLine="0"/>
        <w:keepLines w:val="1"/>
        <w:pBdr>
          <w:left w:val="single" w:sz="24" w:space="12"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firstLine="0"/>
        <w:keepLines w:val="1"/>
        <w:pBdr>
          <w:left w:val="single" w:sz="24" w:space="12"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keepNext/>
        <w:spacing w:before="0" w:after="240"/>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firstLine="0"/>
        <w:keepLines w:val="1"/>
        <w:pBdr>
          <w:left w:val="single" w:sz="24" w:space="12"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firstLine="0"/>
        <w:keepLines w:val="1"/>
        <w:pBdr>
          <w:left w:val="single" w:sz="24" w:space="12"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firstLine="0"/>
        <w:keepLines w:val="1"/>
        <w:pBdr>
          <w:left w:val="single" w:sz="24" w:space="12"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keepNext/>
        <w:spacing w:before="0" w:after="240"/>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4274B93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t>Chapitre 13 — Les élites compradore</w:t>
      </w:r>
    </w:p>
    <w:p w14:paraId="12F2305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24" w:space="12"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spacing w:before="0" w:after="200" w:line="276" w:lineRule="auto"/>
        <w:ind w:left="680" w:right="454" w:firstLine="0"/>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firstLine="0"/>
        <w:keepLines w:val="1"/>
        <w:pBdr>
          <w:left w:val="single" w:sz="24" w:space="12"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firstLine="0"/>
        <w:keepLines w:val="1"/>
        <w:pBdr>
          <w:left w:val="single" w:sz="24" w:space="12"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firstLine="0"/>
        <w:keepLines w:val="1"/>
        <w:pBdr>
          <w:left w:val="single" w:sz="24" w:space="12"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keepNext/>
        <w:spacing w:before="0" w:after="240"/>
      </w:pPr>
      <w:r>
        <w:rPr>
          <w:rFonts w:ascii="Garamond" w:hAnsi="Garamond"/>
          <w:b w:val="0"/>
          <w:color w:val="1A1A2E"/>
          <w:sz w:val="28"/>
        </w:rPr>
        <w:t>Chapitre 13b — Impérialisme, nazisme et la mécanique de la division africaine</w:t>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firstLine="0"/>
        <w:keepLines w:val="1"/>
        <w:pBdr>
          <w:left w:val="single" w:sz="24" w:space="12"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firstLine="0"/>
        <w:keepLines w:val="1"/>
        <w:pBdr>
          <w:left w:val="single" w:sz="24" w:space="12"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firstLine="0"/>
        <w:keepLines w:val="1"/>
        <w:pBdr>
          <w:left w:val="single" w:sz="24" w:space="12"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keepNext/>
        <w:spacing w:before="0" w:after="240"/>
      </w:pPr>
      <w:r>
        <w:rPr>
          <w:rFonts w:ascii="Garamond" w:hAnsi="Garamond"/>
          <w:b w:val="0"/>
          <w:color w:val="1A1A2E"/>
          <w:sz w:val="28"/>
        </w:rPr>
        <w:t>Chapitre 13c — Ouattara, Compaoré, Mobutu : portraits de la trahison instrumentalisée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firstLine="0"/>
        <w:keepLines w:val="1"/>
        <w:pBdr>
          <w:left w:val="single" w:sz="24" w:space="12" w:color="7B1E1E"/>
        </w:pBdr>
      </w:pPr>
      <w:r>
        <w:rPr>
          <w:i/>
          <w:sz w:val="21"/>
        </w:rPr>
        <w:t>« On a deux sommets à Accra. Le premier... cela contraindra le Mali et la Guinée. »</w:t>
      </w:r>
    </w:p>
    <w:p>
      <w:pPr>
        <w:widowControl w:val="1"/>
        <w:spacing w:before="0" w:after="200"/>
        <w:ind w:left="680" w:right="454" w:firstLine="0"/>
        <w:keepLines w:val="1"/>
      </w:pPr>
      <w:r>
        <w:rPr>
          <w:i/>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firstLine="0"/>
        <w:keepLines w:val="1"/>
        <w:pBdr>
          <w:left w:val="single" w:sz="24" w:space="12"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firstLine="0"/>
        <w:keepLines w:val="1"/>
      </w:pPr>
      <w:r>
        <w:rPr>
          <w:i/>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firstLine="0"/>
        <w:keepLines w:val="1"/>
        <w:pBdr>
          <w:left w:val="single" w:sz="24" w:space="12"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firstLine="0"/>
        <w:keepLines w:val="1"/>
      </w:pPr>
      <w:r>
        <w:rPr>
          <w:i/>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keepNext/>
        <w:spacing w:before="0" w:after="240"/>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0"/>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200" w:line="312" w:lineRule="auto" w:before="200"/>
        <w:ind w:left="2160" w:firstLine="0"/>
        <w:jc w:val="center"/>
        <w:rPr>
          <w:b/>
          <w:bCs/>
          <w:color w:val="D99594" w:themeColor="accent2" w:themeTint="99"/>
          <w:sz w:val="22"/>
          <w:szCs w:val="22"/>
        </w:rPr>
      </w:pPr>
      <w:r w:rsidRPr="00D61B0B">
        <w:rPr>
          <w:rFonts w:ascii="Garamond" w:hAnsi="Garamond"/>
          <w:b w:val="0"/>
          <w:bCs/>
          <w:i w:val="0"/>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200" w:line="312" w:lineRule="auto" w:before="200"/>
        <w:ind w:left="2160" w:firstLine="0"/>
        <w:jc w:val="center"/>
        <w:rPr>
          <w:color w:val="D99594" w:themeColor="accent2" w:themeTint="99"/>
        </w:rPr>
      </w:pPr>
      <w:r w:rsidRPr="00D234DF">
        <w:rPr>
          <w:rFonts w:ascii="Garamond" w:hAnsi="Garamond"/>
          <w:b w:val="0"/>
          <w:bCs/>
          <w:i w:val="0"/>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Ibrahim Traoré, président du Faso, 2023</w:t>
      </w:r>
    </w:p>
    <w:p w14:paraId="6E5491B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widowControl w:val="1"/>
        <w:spacing w:before="160" w:after="40"/>
        <w:ind w:left="680" w:right="454" w:firstLine="0"/>
        <w:keepLines w:val="1"/>
        <w:pBdr>
          <w:left w:val="single" w:sz="24" w:space="12"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firstLine="0"/>
        <w:keepLines w:val="1"/>
      </w:pPr>
      <w:r>
        <w:rPr>
          <w:i/>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keepNext/>
        <w:spacing w:before="0" w:after="240"/>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24" w:space="12"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firstLine="0"/>
        <w:keepLines w:val="1"/>
      </w:pPr>
      <w:r>
        <w:rPr>
          <w:i/>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firstLine="0"/>
        <w:keepLines w:val="1"/>
        <w:pBdr>
          <w:left w:val="single" w:sz="24" w:space="12"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firstLine="0"/>
        <w:keepLines w:val="1"/>
      </w:pPr>
      <w:r>
        <w:rPr>
          <w:i/>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keepNext/>
        <w:spacing w:before="0" w:after="240"/>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Fridolin Ngoulou, analyste centrafricain, Oubangui Médias</w:t>
      </w:r>
    </w:p>
    <w:p w14:paraId="295459DC"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firstLine="0"/>
        <w:keepLines w:val="1"/>
        <w:pBdr>
          <w:left w:val="single" w:sz="24" w:space="12"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firstLine="0"/>
        <w:keepLines w:val="1"/>
      </w:pPr>
      <w:r>
        <w:rPr>
          <w:i/>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firstLine="0"/>
        <w:keepLines w:val="1"/>
        <w:pBdr>
          <w:left w:val="single" w:sz="24" w:space="12"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firstLine="0"/>
        <w:keepLines w:val="1"/>
      </w:pPr>
      <w:r>
        <w:rPr>
          <w:i/>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keepNext/>
        <w:spacing w:before="0" w:after="240"/>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before="0"/>
        <w:ind w:left="680" w:right="454" w:firstLine="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ind w:firstLine="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before="0"/>
        <w:ind w:left="680" w:right="454" w:firstLine="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ind w:firstLine="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200" w:line="312" w:lineRule="auto" w:before="200"/>
        <w:ind w:firstLine="0"/>
        <w:jc w:val="center"/>
      </w:pPr>
      <w:bookmarkStart w:id="2" w:name="_Hlk231837790"/>
      <w:r>
        <w:rPr>
          <w:rFonts w:ascii="Garamond" w:hAnsi="Garamond"/>
          <w:b w:val="0"/>
          <w:i w:val="0"/>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firstLine="0"/>
        <w:keepLines w:val="1"/>
        <w:pBdr>
          <w:left w:val="single" w:sz="24" w:space="12"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firstLine="0"/>
        <w:keepLines w:val="1"/>
        <w:pBdr>
          <w:left w:val="single" w:sz="24" w:space="12"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firstLine="0"/>
        <w:keepLines w:val="1"/>
        <w:pBdr>
          <w:left w:val="single" w:sz="24" w:space="12"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firstLine="0"/>
        <w:keepLines w:val="1"/>
      </w:pPr>
      <w:r>
        <w:rPr>
          <w:i/>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keepNext/>
        <w:spacing w:before="0" w:after="240"/>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0"/>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spacing w:before="200" w:after="200"/>
        <w:ind w:left="2160" w:firstLine="0"/>
        <w:jc w:val="center"/>
      </w:pPr>
      <w:r w:rsidRPr="0010645E">
        <w:rPr>
          <w:rFonts w:ascii="Segoe UI Symbol" w:hAnsi="Segoe UI Symbol" w:cs="Segoe UI Symbol"/>
          <w:b w:val="0"/>
          <w:i w:val="0"/>
          <w:color w:val="7B1E1E"/>
        </w:rPr>
        <w:t>★ ★ ★</w:t>
      </w:r>
      <w:r w:rsidR="00000000">
        <w:rPr>
          <w:b w:val="0"/>
          <w:i w:val="0"/>
          <w:color w:val="7B1E1E"/>
        </w:rPr>
      </w:r>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 que le projet souverain doit surmonter</w:t>
      </w:r>
    </w:p>
    <w:p>
      <w:pPr>
        <w:pStyle w:val="Titre2"/>
        <w:pageBreakBefore/>
        <w:keepNext/>
        <w:spacing w:before="0" w:after="240"/>
      </w:pPr>
      <w:r>
        <w:rPr>
          <w:rFonts w:ascii="Garamond" w:hAnsi="Garamond"/>
          <w:b w:val="0"/>
          <w:color w:val="1A1A2E"/>
          <w:sz w:val="28"/>
        </w:rPr>
        <w:t>Chapitre 28b — L'Affaire Vésilier : Quand la Justice Africaine Tient Bon</w:t>
      </w:r>
    </w:p>
    <w:p>
      <w:pPr>
        <w:widowControl w:val="1"/>
        <w:spacing w:after="120" w:line="312" w:lineRule="auto" w:before="40"/>
        <w:ind w:firstLine="0"/>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before="160"/>
        <w:ind w:left="680" w:right="454" w:firstLine="0"/>
        <w:keepLines w:val="1"/>
        <w:pBdr>
          <w:left w:val="single" w:sz="24" w:space="12"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spacing w:before="0" w:after="200"/>
        <w:ind w:right="454" w:left="680" w:firstLine="0"/>
      </w:pPr>
      <w:r>
        <w:rPr>
          <w:i/>
          <w:sz w:val="19"/>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before="160"/>
        <w:ind w:left="680" w:right="454" w:firstLine="0"/>
        <w:keepLines w:val="1"/>
        <w:pBdr>
          <w:left w:val="single" w:sz="24" w:space="12"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spacing w:before="0" w:after="200"/>
        <w:ind w:right="454" w:left="680" w:firstLine="0"/>
      </w:pPr>
      <w:r>
        <w:rPr>
          <w:i/>
          <w:sz w:val="19"/>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before="160"/>
        <w:ind w:left="680" w:right="454" w:firstLine="0"/>
        <w:keepLines w:val="1"/>
        <w:pBdr>
          <w:left w:val="single" w:sz="24" w:space="12"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before="160"/>
        <w:ind w:left="680" w:right="454" w:firstLine="0"/>
        <w:keepLines w:val="1"/>
        <w:pBdr>
          <w:left w:val="single" w:sz="24" w:space="12"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spacing w:before="0" w:after="200"/>
        <w:ind w:right="454" w:left="680" w:firstLine="0"/>
      </w:pPr>
      <w:r>
        <w:rPr>
          <w:i/>
          <w:sz w:val="19"/>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before="160"/>
        <w:ind w:left="680" w:right="454" w:firstLine="0"/>
        <w:keepLines w:val="1"/>
        <w:pBdr>
          <w:left w:val="single" w:sz="24" w:space="12"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200" w:after="200"/>
        <w:ind w:firstLine="0"/>
        <w:jc w:val="center"/>
      </w:pPr>
      <w:r>
        <w:rPr>
          <w:b w:val="0"/>
          <w:i w:val="0"/>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29 — La menace jihadiste persistante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firstLine="0"/>
        <w:keepLines w:val="1"/>
        <w:pBdr>
          <w:left w:val="single" w:sz="24" w:space="12" w:color="7B1E1E"/>
        </w:pBdr>
      </w:pPr>
      <w:r>
        <w:rPr>
          <w:i/>
          <w:sz w:val="21"/>
        </w:rPr>
        <w:t>« Beaucoup de leurs réseaux ont infiltré la transition aujourd'hui. »</w:t>
      </w:r>
    </w:p>
    <w:p>
      <w:pPr>
        <w:widowControl w:val="1"/>
        <w:spacing w:before="0" w:after="200"/>
        <w:ind w:left="680" w:right="454" w:firstLine="0"/>
        <w:keepLines w:val="1"/>
      </w:pPr>
      <w:r>
        <w:rPr>
          <w:i/>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firstLine="0"/>
        <w:keepLines w:val="1"/>
        <w:pBdr>
          <w:left w:val="single" w:sz="24" w:space="12"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firstLine="0"/>
        <w:keepLines w:val="1"/>
      </w:pPr>
      <w:r>
        <w:rPr>
          <w:i/>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keepNext/>
        <w:spacing w:before="0" w:after="240"/>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454" w:firstLine="0"/>
        <w:jc w:val="both"/>
        <w:rPr>
          <w:color w:val="943634" w:themeColor="accent2" w:themeShade="BF"/>
        </w:rPr>
        <w:keepLines w:val="1"/>
        <w:pBdr>
          <w:left w:val="single" w:sz="24" w:space="12"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before="0"/>
        <w:ind w:left="680" w:right="454" w:firstLine="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0" w:after="240"/>
        <w:jc w:val="both"/>
        <w:rPr>
          <w:color w:val="A6A6A6" w:themeColor="background1" w:themeShade="A6"/>
        </w:rPr>
        <w:pageBreakBefore/>
        <w:keepNext/>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200" w:line="312" w:lineRule="auto" w:before="200"/>
        <w:ind w:left="2160" w:firstLine="0"/>
        <w:jc w:val="center"/>
        <w:rPr>
          <w:color w:val="943634" w:themeColor="accent2" w:themeShade="BF"/>
        </w:rPr>
      </w:pPr>
      <w:r w:rsidRPr="00A82CA8">
        <w:rPr>
          <w:rFonts w:ascii="Segoe UI Symbol" w:hAnsi="Segoe UI Symbol" w:cs="Segoe UI Symbol"/>
          <w:b w:val="0"/>
          <w:i w:val="0"/>
          <w:color w:val="7B1E1E"/>
        </w:rPr>
        <w:t>★ ★ ★</w:t>
      </w:r>
    </w:p>
    <w:p w14:paraId="0FC7460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firstLine="0"/>
        <w:keepLines w:val="1"/>
        <w:pBdr>
          <w:left w:val="single" w:sz="24" w:space="12"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firstLine="0"/>
        <w:keepLines w:val="1"/>
        <w:pBdr>
          <w:left w:val="single" w:sz="24" w:space="12"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firstLine="0"/>
        <w:keepLines w:val="1"/>
        <w:pBdr>
          <w:left w:val="single" w:sz="24" w:space="12"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firstLine="0"/>
        <w:keepLines w:val="1"/>
      </w:pPr>
      <w:r>
        <w:rPr>
          <w:i/>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keepNext/>
        <w:spacing w:before="0" w:after="240"/>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firstLine="0"/>
        <w:keepLines w:val="1"/>
        <w:pBdr>
          <w:left w:val="single" w:sz="24" w:space="12"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firstLine="0"/>
        <w:keepLines w:val="1"/>
      </w:pPr>
      <w:r>
        <w:rPr>
          <w:i/>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firstLine="0"/>
        <w:keepLines w:val="1"/>
        <w:pBdr>
          <w:left w:val="single" w:sz="24" w:space="12"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firstLine="0"/>
        <w:keepLines w:val="1"/>
      </w:pPr>
      <w:r>
        <w:rPr>
          <w:i/>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keepNext/>
        <w:spacing w:before="0" w:after="240"/>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36 — Sankara avait raison</w:t>
      </w:r>
    </w:p>
    <w:p w14:paraId="653D829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firstLine="0"/>
        <w:keepLines w:val="1"/>
        <w:pBdr>
          <w:left w:val="single" w:sz="24" w:space="12"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37b — La Francophonie : le dernier empire</w:t>
      </w:r>
    </w:p>
    <w:p w14:paraId="004CC283" w14:textId="77777777" w:rsidR="0028409C" w:rsidRDefault="00000000">
      <w:pPr>
        <w:widowControl w:val="1"/>
        <w:spacing w:after="120" w:line="312" w:lineRule="auto" w:before="40"/>
        <w:ind w:firstLine="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before="0"/>
        <w:ind w:left="680" w:right="454" w:firstLine="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18F0994"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ind w:firstLine="0"/>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200" w:line="312" w:lineRule="auto" w:before="200"/>
        <w:ind w:left="2160" w:firstLine="0"/>
        <w:jc w:val="center"/>
        <w:rPr>
          <w:rFonts w:ascii="Garamond" w:hAnsi="Garamond"/>
          <w:b/>
          <w:bCs/>
          <w:color w:val="D99594" w:themeColor="accent2" w:themeTint="99"/>
          <w:sz w:val="22"/>
          <w:szCs w:val="22"/>
        </w:rPr>
      </w:pPr>
      <w:bookmarkStart w:id="3" w:name="_Hlk231330285"/>
      <w:r w:rsidRPr="00745E9D">
        <w:rPr>
          <w:rFonts w:ascii="Garamond" w:hAnsi="Garamond"/>
          <w:b w:val="0"/>
          <w:bCs/>
          <w:i w:val="0"/>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12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200" w:line="288" w:lineRule="auto" w:before="200"/>
        <w:ind w:firstLine="0"/>
        <w:jc w:val="center"/>
        <w:rPr>
          <w:sz w:val="28"/>
          <w:szCs w:val="28"/>
        </w:rPr>
      </w:pPr>
      <w:r>
        <w:rPr>
          <w:rFonts w:ascii="Garamond" w:hAnsi="Garamond"/>
          <w:b w:val="0"/>
          <w:bCs/>
          <w:i w:val="0"/>
          <w:color w:val="7B1E1E"/>
          <w:sz w:val="56"/>
          <w:szCs w:val="56"/>
        </w:rPr>
        <w:t>★ ★ ★</w:t>
      </w:r>
      <w:r w:rsidR="00F50583">
        <w:rPr>
          <w:rFonts w:ascii="Garamond" w:hAnsi="Garamond"/>
          <w:b w:val="0"/>
          <w:bCs/>
          <w:i w:val="0"/>
          <w:color w:val="7B1E1E"/>
          <w:sz w:val="56"/>
          <w:szCs w:val="56"/>
        </w:rPr>
      </w:r>
      <w:r>
        <w:rPr>
          <w:rFonts w:ascii="Garamond" w:hAnsi="Garamond"/>
          <w:b w:val="0"/>
          <w:bCs/>
          <w:i w:val="0"/>
          <w:color w:val="7B1E1E"/>
          <w:sz w:val="56"/>
          <w:szCs w:val="56"/>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b w:val="0"/>
          <w:i w:val="0"/>
          <w:color w:val="7B1E1E"/>
          <w:sz w:val="28"/>
          <w:szCs w:val="28"/>
        </w:rPr>
      </w:r>
    </w:p>
    <w:p w14:paraId="2ED86905" w14:textId="77777777" w:rsidR="006E716F" w:rsidRDefault="00000000">
      <w:pPr>
        <w:widowControl w:val="1"/>
        <w:spacing w:before="160" w:after="40" w:line="276" w:lineRule="auto"/>
        <w:ind w:left="680" w:right="454" w:firstLine="0"/>
        <w:rPr>
          <w:rFonts w:ascii="Garamond" w:eastAsia="Arial" w:hAnsi="Garamond" w:cs="Arial"/>
          <w:i/>
          <w:iCs/>
          <w:color w:val="8B0000"/>
          <w:sz w:val="21"/>
        </w:rPr>
        <w:keepLines w:val="1"/>
        <w:pBdr>
          <w:left w:val="single" w:sz="24" w:space="12" w:color="7B1E1E"/>
        </w:pBdr>
      </w:pPr>
      <w:r>
        <w:rPr>
          <w:rFonts w:ascii="Garamond" w:eastAsia="Arial" w:hAnsi="Garamond" w:cs="Arial"/>
          <w:i/>
          <w:iCs/>
          <w:color w:val="8B0000"/>
          <w:sz w:val="21"/>
        </w:rPr>
        <w:t>« Restons vigilants. »</w:t>
      </w:r>
    </w:p>
    <w:p>
      <w:pPr>
        <w:widowControl w:val="1"/>
        <w:pStyle w:val="Normal"/>
        <w:spacing w:after="200" w:before="0"/>
        <w:ind w:left="680" w:right="454" w:firstLine="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12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firstLine="0"/>
        <w:keepLines w:val="1"/>
        <w:pBdr>
          <w:left w:val="single" w:sz="24" w:space="12"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200" w:after="200"/>
        <w:ind w:firstLine="0"/>
        <w:jc w:val="center"/>
      </w:pPr>
      <w:r>
        <w:rPr>
          <w:b w:val="0"/>
          <w:i w:val="0"/>
          <w:color w:val="7B1E1E"/>
        </w:rPr>
        <w:t>★ ★ ★</w:t>
      </w:r>
    </w:p>
    <w:p>
      <w:pPr>
        <w:widowControl w:val="1"/>
        <w:spacing w:before="200" w:after="200"/>
        <w:ind w:firstLine="0"/>
        <w:jc w:val="center"/>
      </w:pPr>
      <w:r>
        <w:rPr>
          <w:b w:val="0"/>
          <w:i w:val="0"/>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