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Raineteau : Le Barbouze Condamné qui Annonce un Coup d'État</w:t>
      </w:r>
    </w:p>
    <w:p>
      <w:pPr>
        <w:spacing w:after="80"/>
      </w:pPr>
      <w:r>
        <w:rPr>
          <w:rFonts w:ascii="FreeSerif" w:hAnsi="FreeSerif"/>
          <w:sz w:val="22"/>
        </w:rPr>
        <w:t>Source : Erick Ngaba — Ndjoni Sango, Bangui, 14 novembre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La déclaration</w:t>
      </w:r>
    </w:p>
    <w:p>
      <w:pPr>
        <w:spacing w:after="80"/>
      </w:pPr>
      <w:r>
        <w:rPr>
          <w:rFonts w:ascii="FreeSerif" w:hAnsi="FreeSerif"/>
          <w:sz w:val="22"/>
        </w:rPr>
        <w:t>Le week-end précédant le 14 novembre 2022, lors d'une conférence au Centre d'Échanges et de Réflexion pour l'Avenir (CERA) en France, un homme prend la parole et annonce publiquement un coup d'État à venir en République centrafricaine.</w:t>
      </w:r>
    </w:p>
    <w:p>
      <w:pPr>
        <w:spacing w:after="80"/>
      </w:pPr>
      <w:r>
        <w:rPr>
          <w:rFonts w:ascii="FreeSerif" w:hAnsi="FreeSerif"/>
          <w:sz w:val="22"/>
        </w:rPr>
        <w:t>Son nom : Christophe Raineteau.</w:t>
      </w:r>
    </w:p>
    <w:p>
      <w:pPr>
        <w:spacing w:after="80"/>
      </w:pPr>
      <w:r>
        <w:rPr>
          <w:rFonts w:ascii="FreeSerif" w:hAnsi="FreeSerif"/>
          <w:sz w:val="22"/>
        </w:rPr>
        <w:t>Ses mots exacts, cités par le journal centrafricain Centrafrica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 n'est pas une prédiction. C'est une déclaration d'intention.</w:t>
      </w:r>
    </w:p>
    <w:p>
      <w:pPr>
        <w:spacing w:before="200" w:after="60"/>
        <w:pBdr>
          <w:bottom w:val="single" w:sz="7" w:space="3" w:color="A07820"/>
        </w:pBdr>
      </w:pPr>
      <w:r>
        <w:rPr>
          <w:rFonts w:ascii="FreeSerif" w:hAnsi="FreeSerif"/>
          <w:b/>
          <w:color w:val="2C3A4A"/>
          <w:sz w:val="23"/>
        </w:rPr>
        <w:t>Qui est Christophe Raineteau</w:t>
      </w:r>
    </w:p>
    <w:p>
      <w:pPr>
        <w:spacing w:after="80"/>
      </w:pPr>
      <w:r>
        <w:rPr>
          <w:rFonts w:ascii="FreeSerif" w:hAnsi="FreeSerif"/>
          <w:sz w:val="22"/>
        </w:rPr>
        <w:t>Christophe Raineteau n'est pas un observateur extérieur qui commente la situation centrafricaine depuis Paris. Il est poursuivi par la justice centrafricaine sous dix chefs d'accusation, dont mandat d'arrêt international émis par la Cour d'appel de Bangui le 4 juin 2018.</w:t>
      </w:r>
    </w:p>
    <w:p>
      <w:pPr>
        <w:spacing w:after="80"/>
      </w:pPr>
      <w:r>
        <w:rPr>
          <w:rFonts w:ascii="FreeSerif" w:hAnsi="FreeSerif"/>
          <w:sz w:val="22"/>
        </w:rPr>
        <w:t>Il opère sous l'alias « Alpha ».</w:t>
      </w:r>
    </w:p>
    <w:p>
      <w:pPr>
        <w:spacing w:before="120"/>
      </w:pPr>
      <w:r>
        <w:rPr>
          <w:rFonts w:ascii="FreeSerif" w:hAnsi="FreeSerif"/>
          <w:b/>
          <w:color w:val="2C3A4A"/>
          <w:sz w:val="22"/>
        </w:rPr>
        <w:t>L'attentat du 1er mai 2018 — église Notre-Dame de Fatima</w:t>
      </w:r>
    </w:p>
    <w:p>
      <w:pPr>
        <w:spacing w:after="80"/>
      </w:pPr>
      <w:r>
        <w:rPr>
          <w:rFonts w:ascii="FreeSerif" w:hAnsi="FreeSerif"/>
          <w:sz w:val="22"/>
        </w:rPr>
        <w:t>Le 1er mai 2018, des extrémistes armés du quartier KM5 de Bangui attaquent l'église catholique Notre-Dame de Fatima pendant une messe de la Fraternité Saint-Joseph.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chef des extrémistes armés du KM5, et Bernard Cousin, autre mercenaire français présent sur le territoire centrafricain.</w:t>
      </w:r>
    </w:p>
    <w:p>
      <w:pPr>
        <w:spacing w:after="80"/>
      </w:pPr>
      <w:r>
        <w:rPr>
          <w:rFonts w:ascii="FreeSerif" w:hAnsi="FreeSerif"/>
          <w:sz w:val="22"/>
        </w:rPr>
        <w:t>Déclaration du Procureur général de la Cour d'appel de Bangui,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spacing w:after="80"/>
      </w:pPr>
      <w:r>
        <w:rPr>
          <w:rFonts w:ascii="FreeSerif" w:hAnsi="FreeSerif"/>
          <w:sz w:val="22"/>
        </w:rPr>
        <w:t>Les dix chefs d'accusation retenus contre Raineteau, Cousin et Nimery Matar :</w:t>
      </w:r>
    </w:p>
    <w:p>
      <w:pPr>
        <w:pStyle w:val="Listepuces"/>
      </w:pPr>
      <w:r>
        <w:rPr>
          <w:rFonts w:ascii="FreeSerif" w:hAnsi="FreeSerif"/>
          <w:sz w:val="21"/>
        </w:rPr>
        <w:t>Acte de terrorisme</w:t>
      </w:r>
    </w:p>
    <w:p>
      <w:pPr>
        <w:pStyle w:val="Listepuces"/>
      </w:pPr>
      <w:r>
        <w:rPr>
          <w:rFonts w:ascii="FreeSerif" w:hAnsi="FreeSerif"/>
          <w:sz w:val="21"/>
        </w:rPr>
        <w:t>Incendie volontaire de maisons d'habitation</w:t>
      </w:r>
    </w:p>
    <w:p>
      <w:pPr>
        <w:pStyle w:val="Listepuces"/>
      </w:pPr>
      <w:r>
        <w:rPr>
          <w:rFonts w:ascii="FreeSerif" w:hAnsi="FreeSerif"/>
          <w:sz w:val="21"/>
        </w:rPr>
        <w:t>Assassinats volontaires</w:t>
      </w:r>
    </w:p>
    <w:p>
      <w:pPr>
        <w:pStyle w:val="Listepuces"/>
      </w:pPr>
      <w:r>
        <w:rPr>
          <w:rFonts w:ascii="FreeSerif" w:hAnsi="FreeSerif"/>
          <w:sz w:val="21"/>
        </w:rPr>
        <w:t>Association de malfaiteurs</w:t>
      </w:r>
    </w:p>
    <w:p>
      <w:pPr>
        <w:pStyle w:val="Listepuces"/>
      </w:pPr>
      <w:r>
        <w:rPr>
          <w:rFonts w:ascii="FreeSerif" w:hAnsi="FreeSerif"/>
          <w:sz w:val="21"/>
        </w:rPr>
        <w:t>Atteinte à la sûreté intérieure de l'État</w:t>
      </w:r>
    </w:p>
    <w:p>
      <w:pPr>
        <w:pStyle w:val="Listepuces"/>
      </w:pPr>
      <w:r>
        <w:rPr>
          <w:rFonts w:ascii="FreeSerif" w:hAnsi="FreeSerif"/>
          <w:sz w:val="21"/>
        </w:rPr>
        <w:t>Offense au chef de l'État</w:t>
      </w:r>
    </w:p>
    <w:p>
      <w:pPr>
        <w:pStyle w:val="Listepuces"/>
      </w:pPr>
      <w:r>
        <w:rPr>
          <w:rFonts w:ascii="FreeSerif" w:hAnsi="FreeSerif"/>
          <w:sz w:val="21"/>
        </w:rPr>
        <w:t>Rébellion</w:t>
      </w:r>
    </w:p>
    <w:p>
      <w:pPr>
        <w:pStyle w:val="Listepuces"/>
      </w:pPr>
      <w:r>
        <w:rPr>
          <w:rFonts w:ascii="FreeSerif" w:hAnsi="FreeSerif"/>
          <w:sz w:val="21"/>
        </w:rPr>
        <w:t>Haine tribale</w:t>
      </w:r>
    </w:p>
    <w:p>
      <w:pPr>
        <w:pStyle w:val="Listepuces"/>
      </w:pPr>
      <w:r>
        <w:rPr>
          <w:rFonts w:ascii="FreeSerif" w:hAnsi="FreeSerif"/>
          <w:sz w:val="21"/>
        </w:rPr>
        <w:t>Trouble à l'ordre public</w:t>
      </w:r>
    </w:p>
    <w:p>
      <w:pPr>
        <w:pStyle w:val="Listepuces"/>
      </w:pPr>
      <w:r>
        <w:rPr>
          <w:rFonts w:ascii="FreeSerif" w:hAnsi="FreeSerif"/>
          <w:sz w:val="21"/>
        </w:rPr>
        <w:t>*(complicité sur les chefs précédents)*</w:t>
      </w:r>
    </w:p>
    <w:p>
      <w:pPr>
        <w:spacing w:after="80"/>
      </w:pPr>
      <w:r>
        <w:rPr>
          <w:rFonts w:ascii="FreeSerif" w:hAnsi="FreeSerif"/>
          <w:sz w:val="22"/>
        </w:rPr>
        <w:t>Les mandats d'arrêt sont exécutables dans les pays où résident les mercenaires français. Une commission rogatoire internationale a été mise en place. Raineteau fuit Bangui en 2018.</w:t>
      </w:r>
    </w:p>
    <w:p>
      <w:pPr>
        <w:spacing w:after="80"/>
      </w:pPr>
      <w:r>
        <w:rPr>
          <w:rFonts w:ascii="FreeSerif" w:hAnsi="FreeSerif"/>
          <w:sz w:val="22"/>
        </w:rPr>
        <w:t>Source : Erick Ngaba — Ndjoni Sango, Bangui, 3 juin 2018</w:t>
      </w:r>
    </w:p>
    <w:p>
      <w:pPr>
        <w:spacing w:before="200" w:after="60"/>
        <w:pBdr>
          <w:bottom w:val="single" w:sz="7" w:space="3" w:color="A07820"/>
        </w:pBdr>
      </w:pPr>
      <w:r>
        <w:rPr>
          <w:rFonts w:ascii="FreeSerif" w:hAnsi="FreeSerif"/>
          <w:b/>
          <w:color w:val="2C3A4A"/>
          <w:sz w:val="23"/>
        </w:rPr>
        <w:t>Ce que cette déclaration implique</w:t>
      </w:r>
    </w:p>
    <w:p>
      <w:pPr>
        <w:spacing w:after="80"/>
      </w:pPr>
      <w:r>
        <w:rPr>
          <w:rFonts w:ascii="FreeSerif" w:hAnsi="FreeSerif"/>
          <w:sz w:val="22"/>
        </w:rPr>
        <w:t>Un homme condamné à perpétuité par un État souverain, sous mandat d'arrêt international, circule librement en France et annonce publiquement un coup d'État contre ce même État.</w:t>
      </w:r>
    </w:p>
    <w:p>
      <w:pPr/>
      <w:r>
        <w:rPr>
          <w:rFonts w:ascii="FreeSerif" w:hAnsi="FreeSerif"/>
          <w:b/>
          <w:color w:val="2C3A4A"/>
          <w:sz w:val="22"/>
        </w:rPr>
        <w:t>Il n'est pas arrêté.</w:t>
      </w:r>
    </w:p>
    <w:p>
      <w:pPr/>
      <w:r>
        <w:rPr>
          <w:rFonts w:ascii="FreeSerif" w:hAnsi="FreeSerif"/>
          <w:b/>
          <w:color w:val="2C3A4A"/>
          <w:sz w:val="22"/>
        </w:rPr>
        <w:t>Il n'est pas extradé.</w:t>
      </w:r>
    </w:p>
    <w:p>
      <w:pPr/>
      <w:r>
        <w:rPr>
          <w:rFonts w:ascii="FreeSerif" w:hAnsi="FreeSerif"/>
          <w:b/>
          <w:color w:val="2C3A4A"/>
          <w:sz w:val="22"/>
        </w:rPr>
        <w:t>Il n'est pas même interrogé par les autorités françaises.</w:t>
      </w:r>
    </w:p>
    <w:p>
      <w:pPr>
        <w:spacing w:after="80"/>
      </w:pPr>
      <w:r>
        <w:rPr>
          <w:rFonts w:ascii="FreeSerif" w:hAnsi="FreeSerif"/>
          <w:sz w:val="22"/>
        </w:rPr>
        <w:t>La France n'a émis aucune mise en garde, aucune condamnation de cette déclaration publique d'intention de renverser un gouvernement élu.</w:t>
      </w:r>
    </w:p>
    <w:p>
      <w:pPr>
        <w:spacing w:after="80"/>
      </w:pPr>
      <w:r>
        <w:rPr>
          <w:rFonts w:ascii="FreeSerif" w:hAnsi="FreeSerif"/>
          <w:sz w:val="22"/>
        </w:rPr>
        <w:t>Ce silence des autorités françaises face à une déclaration aussi explicite — faite sur le sol français, devant un public français — est lui-même un message.</w:t>
      </w:r>
    </w:p>
    <w:p>
      <w:pPr>
        <w:spacing w:before="200" w:after="60"/>
        <w:pBdr>
          <w:bottom w:val="single" w:sz="7" w:space="3" w:color="A07820"/>
        </w:pBdr>
      </w:pPr>
      <w:r>
        <w:rPr>
          <w:rFonts w:ascii="FreeSerif" w:hAnsi="FreeSerif"/>
          <w:b/>
          <w:color w:val="2C3A4A"/>
          <w:sz w:val="23"/>
        </w:rPr>
        <w:t>La demande de Ndjoni Sango</w:t>
      </w:r>
    </w:p>
    <w:p>
      <w:pPr>
        <w:spacing w:after="80"/>
      </w:pPr>
      <w:r>
        <w:rPr>
          <w:rFonts w:ascii="FreeSerif" w:hAnsi="FreeSerif"/>
          <w:sz w:val="22"/>
        </w:rPr>
        <w:t>Face à cette déclaration, le journaliste Erick Ngaba formule une demande claire aux autorités centrafricaines :</w:t>
      </w:r>
    </w:p>
    <w:p>
      <w:pPr>
        <w:spacing w:after="80"/>
      </w:pPr>
      <w:r>
        <w:rPr>
          <w:rFonts w:ascii="FreeSerif" w:hAnsi="FreeSerif"/>
          <w:sz w:val="22"/>
        </w:rPr>
        <w:t>Convoquer l'ambassadeur de France à Bangui pour obtenir des explications — ou le déclarer persona non grata.</w:t>
      </w:r>
    </w:p>
    <w:p>
      <w:pPr>
        <w:spacing w:after="80"/>
      </w:pPr>
      <w:r>
        <w:rPr>
          <w:rFonts w:ascii="FreeSerif" w:hAnsi="FreeSerif"/>
          <w:sz w:val="22"/>
        </w:rPr>
        <w:t>La déclaration de Raineteau est qualifiée dans l'article d'incitation à l'insurrection et à la rébellion.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pPr>
        <w:spacing w:before="200" w:after="60"/>
        <w:pBdr>
          <w:bottom w:val="single" w:sz="7" w:space="3" w:color="A07820"/>
        </w:pBdr>
      </w:pPr>
      <w:r>
        <w:rPr>
          <w:rFonts w:ascii="FreeSerif" w:hAnsi="FreeSerif"/>
          <w:b/>
          <w:color w:val="2C3A4A"/>
          <w:sz w:val="23"/>
        </w:rPr>
        <w:t>L'assassinat des journalistes russes — Raineteau, suspect principal</w:t>
      </w:r>
    </w:p>
    <w:p>
      <w:pPr>
        <w:spacing w:after="80"/>
      </w:pPr>
      <w:r>
        <w:rPr>
          <w:rFonts w:ascii="FreeSerif" w:hAnsi="FreeSerif"/>
          <w:sz w:val="22"/>
        </w:rPr>
        <w:t>Source : Mamadou Ngainam — Ndjoni Sango, Bangui, 16 juin 2019</w:t>
      </w:r>
    </w:p>
    <w:p>
      <w:pPr>
        <w:spacing w:after="80"/>
      </w:pPr>
      <w:r>
        <w:rPr>
          <w:rFonts w:ascii="FreeSerif" w:hAnsi="FreeSerif"/>
          <w:sz w:val="22"/>
        </w:rPr>
        <w:t>Le 31 juillet 2018, trois journalistes russes sont assassinés sur la route Sibut-Dekoa, en République centrafricaine : Alexandre Rastorguev, Orhan Dzhemal et Kirill Radchenko. Ils avaient été envoyés par le Centre de Gestion d'Enquêtes de Mikhaïl Khodorkovski pour filmer les activités des mercenaires russes de Wagner présents sur le territoire centrafricain.</w:t>
      </w:r>
    </w:p>
    <w:p>
      <w:pPr>
        <w:spacing w:after="80"/>
      </w:pPr>
      <w:r>
        <w:rPr>
          <w:rFonts w:ascii="FreeSerif" w:hAnsi="FreeSerif"/>
          <w:sz w:val="22"/>
        </w:rPr>
        <w:t>L'enquête centrafricaine, relayée par des informations concordantes, désigne Christophe Raineteau comme le suspect principal.</w:t>
      </w:r>
    </w:p>
    <w:p>
      <w:pPr>
        <w:spacing w:before="120"/>
      </w:pPr>
      <w:r>
        <w:rPr>
          <w:rFonts w:ascii="FreeSerif" w:hAnsi="FreeSerif"/>
          <w:b/>
          <w:color w:val="2C3A4A"/>
          <w:sz w:val="22"/>
        </w:rPr>
        <w:t>Les alias et l'identification</w:t>
      </w:r>
    </w:p>
    <w:p>
      <w:pPr>
        <w:spacing w:after="80"/>
      </w:pPr>
      <w:r>
        <w:rPr>
          <w:rFonts w:ascii="FreeSerif" w:hAnsi="FreeSerif"/>
          <w:sz w:val="22"/>
        </w:rPr>
        <w:t>Raineteau opère sous deux alias : Alpha — déjà connu depuis l'affaire de Notre-Dame de Fatima — mais aussi Martin. Les enquêteurs établissent ce double alias grâce à des téléphones portables retrouvés avec des autocollants portant ces noms. Un témoin clé, Sharonne Mailingapu, résidant dans la zone PK5 de Bangui, confirme sa relation directe avec Raineteau et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localisé et arrêté à Antananarivo (Madagascar). L'occasion de l'extrader vers la Centrafrique — ou de le remettre aux autorités russes qui le recherchent — est réelle.</w:t>
      </w:r>
    </w:p>
    <w:p>
      <w:pPr>
        <w:spacing w:after="80"/>
      </w:pPr>
      <w:r>
        <w:rPr>
          <w:rFonts w:ascii="FreeSerif" w:hAnsi="FreeSerif"/>
          <w:sz w:val="22"/>
        </w:rPr>
        <w:t>Elle ne sera pas saisie.</w:t>
      </w:r>
    </w:p>
    <w:p>
      <w:pPr>
        <w:spacing w:after="80"/>
      </w:pPr>
      <w:r>
        <w:rPr>
          <w:rFonts w:ascii="FreeSerif" w:hAnsi="FreeSerif"/>
          <w:sz w:val="22"/>
        </w:rPr>
        <w:t>Des diplomates français interviennent. Raineteau est extrait de la détention malgache, conduit à l'ambassade de France à Antananarivo, et rapatrié à Paris. Il ne sera pas extradé. Il ne sera pas jugé. Il sera protégé.</w:t>
      </w:r>
    </w:p>
    <w:p>
      <w:pPr>
        <w:spacing w:before="120"/>
      </w:pPr>
      <w:r>
        <w:rPr>
          <w:rFonts w:ascii="FreeSerif" w:hAnsi="FreeSerif"/>
          <w:b/>
          <w:color w:val="2C3A4A"/>
          <w:sz w:val="22"/>
        </w:rPr>
        <w:t>La demande du comité russe</w:t>
      </w:r>
    </w:p>
    <w:p>
      <w:pPr>
        <w:spacing w:after="80"/>
      </w:pPr>
      <w:r>
        <w:rPr>
          <w:rFonts w:ascii="FreeSerif" w:hAnsi="FreeSerif"/>
          <w:sz w:val="22"/>
        </w:rPr>
        <w:t>Le comité d'enquête russe adresse une demande officielle à Paris concernant Raineteau. La France n'y donne pas suite.</w:t>
      </w:r>
    </w:p>
    <w:p>
      <w:pPr>
        <w:spacing w:before="120"/>
      </w:pPr>
      <w:r>
        <w:rPr>
          <w:rFonts w:ascii="FreeSerif" w:hAnsi="FreeSerif"/>
          <w:b/>
          <w:color w:val="2C3A4A"/>
          <w:sz w:val="22"/>
        </w:rPr>
        <w:t>La dimension Khodorkovski</w:t>
      </w:r>
    </w:p>
    <w:p>
      <w:pPr>
        <w:spacing w:after="80"/>
      </w:pPr>
      <w:r>
        <w:rPr>
          <w:rFonts w:ascii="FreeSerif" w:hAnsi="FreeSerif"/>
          <w:sz w:val="22"/>
        </w:rPr>
        <w:t>Les trois journalistes travaillaient pour le Centre de Gestion d'Enquêtes, structure financée par Mikhaïl Khodorkovski, oligarque russe en exil à Londres, opposant de longue date à Vladimir Poutine. Leur mission : documenter la présence de mercenaires Wagner en RCA.</w:t>
      </w:r>
    </w:p>
    <w:p>
      <w:pPr>
        <w:spacing w:after="80"/>
      </w:pPr>
      <w:r>
        <w:rPr>
          <w:rFonts w:ascii="FreeSerif" w:hAnsi="FreeSerif"/>
          <w:sz w:val="22"/>
        </w:rPr>
        <w:t>Des journalistes français étaient informés de la mission en cours au moment de sa planification. Cette information, si elle a été transmise à des services de renseignement, transforme l'équation : quelqu'un savait où se trouvaient ces journalistes.</w:t>
      </w:r>
    </w:p>
    <w:p>
      <w:pPr>
        <w:spacing w:before="120"/>
      </w:pPr>
      <w:r>
        <w:rPr>
          <w:rFonts w:ascii="FreeSerif" w:hAnsi="FreeSerif"/>
          <w:b/>
          <w:color w:val="2C3A4A"/>
          <w:sz w:val="22"/>
        </w:rPr>
        <w:t>Ce que cette affaire révèle</w:t>
      </w:r>
    </w:p>
    <w:p>
      <w:pPr>
        <w:spacing w:after="80"/>
      </w:pPr>
      <w:r>
        <w:rPr>
          <w:rFonts w:ascii="FreeSerif" w:hAnsi="FreeSerif"/>
          <w:sz w:val="22"/>
        </w:rPr>
        <w:t>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spacing w:after="80"/>
      </w:pPr>
      <w:r>
        <w:rPr>
          <w:rFonts w:ascii="FreeSerif" w:hAnsi="FreeSerif"/>
          <w:sz w:val="22"/>
        </w:rPr>
        <w:t>Le résultat : trois journalistes russes morts sur une route de brousse centrafricaine. Raineteau arrêté à Madagascar. Raineteau extrait par la France. Raineteau à Paris. Libre.</w:t>
      </w:r>
    </w:p>
    <w:p>
      <w:pPr>
        <w:spacing w:before="200" w:after="60"/>
        <w:pBdr>
          <w:bottom w:val="single" w:sz="7" w:space="3" w:color="A07820"/>
        </w:pBdr>
      </w:pPr>
      <w:r>
        <w:rPr>
          <w:rFonts w:ascii="FreeSerif" w:hAnsi="FreeSerif"/>
          <w:b/>
          <w:color w:val="2C3A4A"/>
          <w:sz w:val="23"/>
        </w:rPr>
        <w:t>La cohérence du tableau</w:t>
      </w:r>
    </w:p>
    <w:p>
      <w:pPr>
        <w:spacing w:after="80"/>
      </w:pPr>
      <w:r>
        <w:rPr>
          <w:rFonts w:ascii="FreeSerif" w:hAnsi="FreeSerif"/>
          <w:sz w:val="22"/>
        </w:rPr>
        <w:t>La déclaration de Raineteau en novembre 2022 s'inscrit dans une séquence documentée :</w:t>
      </w:r>
    </w:p>
    <w:p>
      <w:pPr>
        <w:pStyle w:val="Listepuces"/>
      </w:pPr>
      <w:r>
        <w:rPr>
          <w:rFonts w:ascii="FreeSerif" w:hAnsi="FreeSerif"/>
          <w:sz w:val="21"/>
        </w:rPr>
        <w:t>**Novembre 2022** : Raineteau annonce un coup d'État depuis Paris</w:t>
      </w:r>
    </w:p>
    <w:p>
      <w:pPr>
        <w:pStyle w:val="Listepuces"/>
      </w:pPr>
      <w:r>
        <w:rPr>
          <w:rFonts w:ascii="FreeSerif" w:hAnsi="FreeSerif"/>
          <w:sz w:val="21"/>
        </w:rPr>
        <w:t>**Novembre 2022** : le groupe G-16 (Akandji-Kombé, Mayté) organise ses activités de déstabilisation depuis la France</w:t>
      </w:r>
    </w:p>
    <w:p>
      <w:pPr>
        <w:pStyle w:val="Listepuces"/>
      </w:pPr>
      <w:r>
        <w:rPr>
          <w:rFonts w:ascii="FreeSerif" w:hAnsi="FreeSerif"/>
          <w:sz w:val="21"/>
        </w:rPr>
        <w:t>**Novembre 2022** : la Galaxie Nationale Centrafricaine demande la convocation de l'ambassadeur Grosgurin pour les agissements de Rodrigue Mayté (chapitre 46)</w:t>
      </w:r>
    </w:p>
    <w:p>
      <w:pPr>
        <w:pStyle w:val="Listepuces"/>
      </w:pPr>
      <w:r>
        <w:rPr>
          <w:rFonts w:ascii="FreeSerif" w:hAnsi="FreeSerif"/>
          <w:sz w:val="21"/>
        </w:rPr>
        <w:t>**Décembre 2025** : Nouredine Adam séjourne présumément en France pour préparer l'offensive (chapitre 49)</w:t>
      </w:r>
    </w:p>
    <w:p>
      <w:pPr>
        <w:pStyle w:val="Listepuces"/>
      </w:pPr>
      <w:r>
        <w:rPr>
          <w:rFonts w:ascii="FreeSerif" w:hAnsi="FreeSerif"/>
          <w:sz w:val="21"/>
        </w:rPr>
        <w:t>**Juin 2026** : Thomas Dietrich documente la préparation d'une grande offensive sur Bangui</w:t>
      </w:r>
    </w:p>
    <w:p>
      <w:pPr>
        <w:spacing w:after="80"/>
      </w:pPr>
      <w:r>
        <w:rPr>
          <w:rFonts w:ascii="FreeSerif" w:hAnsi="FreeSerif"/>
          <w:sz w:val="22"/>
        </w:rPr>
        <w:t>Ce n'est pas une série d'incidents isolés. C'est un programme continu, dont le territoire français est la base arrière, et dont la déclaration publique de Raineteau est l'un des rares moments où le masque tombe.</w:t>
      </w:r>
    </w:p>
    <w:p>
      <w:pPr>
        <w:spacing w:after="80"/>
      </w:pPr>
      <w:r>
        <w:rPr>
          <w:rFonts w:ascii="FreeSerif" w:hAnsi="FreeSerif"/>
          <w:sz w:val="22"/>
        </w:rPr>
        <w:t>À rapprocher de : Chapitre 46 — Histoire de la RCA : Fidèle Gouandjika ; Chapitre 49 — RCA : la guerre qui vient (Thomas Dietrich) ; Chapitre 10 — Les réseaux d'influence.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s'explique — la rébellion, Ouattara et la France</w:t>
      </w:r>
    </w:p>
    <w:p>
      <w:pPr/>
      <w:r>
        <w:rPr>
          <w:rFonts w:ascii="FreeSerif" w:hAnsi="FreeSerif"/>
          <w:b/>
          <w:color w:val="2C3A4A"/>
          <w:sz w:val="22"/>
        </w:rPr>
        <w:t>par Hermann le Patriote</w:t>
      </w:r>
    </w:p>
    <w:p>
      <w:pPr>
        <w:spacing w:after="80"/>
      </w:pPr>
      <w:r>
        <w:rPr>
          <w:rFonts w:ascii="FreeSerif" w:hAnsi="FreeSerif"/>
          <w:sz w:val="22"/>
        </w:rPr>
        <w:t>Source primaire : Analyse et commentaire de Hermann le Patriote — direct YouTube, veille de Noël 2024. Matériau central : interview de Guillaume Soro sur Espace TV Guinée (postée il y a environ 4 ans). Croisement avec documents déclassifiés US dossier F-2014-20439.</w:t>
      </w:r>
    </w:p>
    <w:p>
      <w:pPr>
        <w:spacing w:before="80" w:after="80"/>
        <w:ind w:left="680" w:right="680"/>
      </w:pPr>
      <w:r>
        <w:rPr>
          <w:rFonts w:ascii="FreeSerif" w:hAnsi="FreeSerif"/>
          <w:i/>
          <w:color w:val="8B1A1A"/>
          <w:sz w:val="21"/>
        </w:rPr>
        <w:t>*« Ce n'est pas à 29 ans que je tisserai des deals de ce genre. »*</w:t>
        <w:br/>
        <w:t>— Guillaume Soro, Espace TV Guinée</w:t>
      </w:r>
    </w:p>
    <w:p>
      <w:pPr>
        <w:spacing w:before="200" w:after="60"/>
        <w:pBdr>
          <w:bottom w:val="single" w:sz="7" w:space="3" w:color="A07820"/>
        </w:pBdr>
      </w:pPr>
      <w:r>
        <w:rPr>
          <w:rFonts w:ascii="FreeSerif" w:hAnsi="FreeSerif"/>
          <w:b/>
          <w:color w:val="2C3A4A"/>
          <w:sz w:val="23"/>
        </w:rPr>
        <w:t>Pourquoi ce document</w:t>
      </w:r>
    </w:p>
    <w:p>
      <w:pPr>
        <w:spacing w:after="80"/>
      </w:pPr>
      <w:r>
        <w:rPr>
          <w:rFonts w:ascii="FreeSerif" w:hAnsi="FreeSerif"/>
          <w:sz w:val="22"/>
        </w:rPr>
        <w:t>Le chapitre précédent documente, à travers les câbles Clinton déclassifiés, comment l'intervention française en Côte d'Ivoire en avril 2011 a été explicitement interprétée — à l'intérieur même du Département d'État américain — comme un message à Kadhafi : « Hello Tripoli. »</w:t>
      </w:r>
    </w:p>
    <w:p>
      <w:pPr>
        <w:spacing w:after="80"/>
      </w:pPr>
      <w:r>
        <w:rPr>
          <w:rFonts w:ascii="FreeSerif" w:hAnsi="FreeSerif"/>
          <w:sz w:val="22"/>
        </w:rPr>
        <w:t>Ce chapitre remonte en amont : qui a fait la rébellion ivoirienne de 2002 ? Pourquoi ? Au profit de qui ? Et que révèle, quinze ans plus tard, celui qui l'a menée ?</w:t>
      </w:r>
    </w:p>
    <w:p>
      <w:pPr>
        <w:spacing w:after="80"/>
      </w:pPr>
      <w:r>
        <w:rPr>
          <w:rFonts w:ascii="FreeSerif" w:hAnsi="FreeSerif"/>
          <w:sz w:val="22"/>
        </w:rPr>
        <w:t>Guillaume Soro —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pPr>
        <w:spacing w:before="200" w:after="60"/>
        <w:pBdr>
          <w:bottom w:val="single" w:sz="7" w:space="3" w:color="A07820"/>
        </w:pBdr>
      </w:pPr>
      <w:r>
        <w:rPr>
          <w:rFonts w:ascii="FreeSerif" w:hAnsi="FreeSerif"/>
          <w:b/>
          <w:color w:val="2C3A4A"/>
          <w:sz w:val="23"/>
        </w:rPr>
        <w:t>I. Le 19 septembre 2002 : qui a fait quoi</w:t>
      </w:r>
    </w:p>
    <w:p>
      <w:pPr>
        <w:spacing w:before="120"/>
      </w:pPr>
      <w:r>
        <w:rPr>
          <w:rFonts w:ascii="FreeSerif" w:hAnsi="FreeSerif"/>
          <w:b/>
          <w:color w:val="2C3A4A"/>
          <w:sz w:val="22"/>
        </w:rPr>
        <w:t>La thèse officielle</w:t>
      </w:r>
    </w:p>
    <w:p>
      <w:pPr>
        <w:spacing w:after="80"/>
      </w:pPr>
      <w:r>
        <w:rPr>
          <w:rFonts w:ascii="FreeSerif" w:hAnsi="FreeSerif"/>
          <w:sz w:val="22"/>
        </w:rPr>
        <w:t>La version longtemps dominante : Guillaume Soro, étudiant militant devenu chef des Forces Nouvelles, prend les armes en septembre 2002 pour défendre les droits des populations du Nord ivoirien victimes de l'ivoirité — doctrine politique excluant de la citoyenneté pleine les Ivoiriens aux ascendances sahéliennes, dont Alassane Ouattara lui-même, dont la candidature à la présidentielle avait été rejetée.</w:t>
      </w:r>
    </w:p>
    <w:p>
      <w:pPr>
        <w:spacing w:before="120"/>
      </w:pPr>
      <w:r>
        <w:rPr>
          <w:rFonts w:ascii="FreeSerif" w:hAnsi="FreeSerif"/>
          <w:b/>
          <w:color w:val="2C3A4A"/>
          <w:sz w:val="22"/>
        </w:rPr>
        <w:t>Ce que dit Soro lui-même</w:t>
      </w:r>
    </w:p>
    <w:p>
      <w:pPr>
        <w:spacing w:after="80"/>
      </w:pPr>
      <w:r>
        <w:rPr>
          <w:rFonts w:ascii="FreeSerif" w:hAnsi="FreeSerif"/>
          <w:sz w:val="22"/>
        </w:rPr>
        <w:t>Dans l'interview Espace TV Guinée, Soro confirme la motivation initiale :</w:t>
      </w:r>
    </w:p>
    <w:p>
      <w:pPr>
        <w:spacing w:before="80" w:after="80"/>
        <w:ind w:left="680" w:right="680"/>
      </w:pPr>
      <w:r>
        <w:rPr>
          <w:rFonts w:ascii="FreeSerif" w:hAnsi="FreeSerif"/>
          <w:i/>
          <w:color w:val="8B1A1A"/>
          <w:sz w:val="21"/>
        </w:rPr>
        <w:t>*«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spacing w:after="80"/>
      </w:pPr>
      <w:r>
        <w:rPr>
          <w:rFonts w:ascii="FreeSerif" w:hAnsi="FreeSerif"/>
          <w:sz w:val="22"/>
        </w:rPr>
        <w:t>Première contradiction : Soro affirme qu'il n'y avait pas de deal avec Ouattara en 2002 — le deal n'est intervenu qu'en 2006, quand le combat « visiblement abouti ». Mais il reconnaît simultanément qu'Ouattara était l'icône pour laquelle ce combat a été mené. La distinction entre idéal et deal est sémantique.</w:t>
      </w:r>
    </w:p>
    <w:p>
      <w:pPr>
        <w:spacing w:before="120"/>
      </w:pPr>
      <w:r>
        <w:rPr>
          <w:rFonts w:ascii="FreeSerif" w:hAnsi="FreeSerif"/>
          <w:b/>
          <w:color w:val="2C3A4A"/>
          <w:sz w:val="22"/>
        </w:rPr>
        <w:t>Ouattara bénéficiaire, pas père</w:t>
      </w:r>
    </w:p>
    <w:p>
      <w:pPr>
        <w:spacing w:after="80"/>
      </w:pPr>
      <w:r>
        <w:rPr>
          <w:rFonts w:ascii="FreeSerif" w:hAnsi="FreeSerif"/>
          <w:sz w:val="22"/>
        </w:rPr>
        <w:t>La formulation de Soro est précise — et révélatrice :</w:t>
      </w:r>
    </w:p>
    <w:p>
      <w:pPr>
        <w:spacing w:before="80" w:after="80"/>
        <w:ind w:left="680" w:right="680"/>
      </w:pPr>
      <w:r>
        <w:rPr>
          <w:rFonts w:ascii="FreeSerif" w:hAnsi="FreeSerif"/>
          <w:i/>
          <w:color w:val="8B1A1A"/>
          <w:sz w:val="21"/>
        </w:rPr>
        <w:t>*Monsieur Ouattara est bénéficiaire de cette affaire. [...] Il n'y avait pas de père ni de fils ni de double femme dans cette affaire.*</w:t>
      </w:r>
    </w:p>
    <w:p>
      <w:pPr>
        <w:spacing w:after="80"/>
      </w:pPr>
      <w:r>
        <w:rPr>
          <w:rFonts w:ascii="FreeSerif" w:hAnsi="FreeSerif"/>
          <w:sz w:val="22"/>
        </w:rPr>
        <w:t>Traduit : Ouattara n'a pas commandé la rébellion. Mais il en a tout récolté — Premier ministre sous Gbagbo d'abord, puis Président à partir de 2011, poste qu'il occupe encore.</w:t>
      </w:r>
    </w:p>
    <w:p>
      <w:pPr>
        <w:spacing w:after="80"/>
      </w:pPr>
      <w:r>
        <w:rPr>
          <w:rFonts w:ascii="FreeSerif" w:hAnsi="FreeSerif"/>
          <w:sz w:val="22"/>
        </w:rPr>
        <w:t>L'analyse d'Herman le Patriote :</w:t>
      </w:r>
    </w:p>
    <w:p>
      <w:pPr>
        <w:spacing w:before="80" w:after="80"/>
        <w:ind w:left="680" w:right="680"/>
      </w:pPr>
      <w:r>
        <w:rPr>
          <w:rFonts w:ascii="FreeSerif" w:hAnsi="FreeSerif"/>
          <w:i/>
          <w:color w:val="8B1A1A"/>
          <w:sz w:val="21"/>
        </w:rPr>
        <w:t>*« Il dit que l'icône de la communauté du Nord était Draman Ouattara. Et puis il dit que Draman n'est pas le père de la rébellion. Mais il était l'icône du Nord pour lequel vous avez combattu. Je ne comprends pas. »*</w:t>
      </w:r>
    </w:p>
    <w:p>
      <w:pPr>
        <w:spacing w:after="80"/>
      </w:pPr>
      <w:r>
        <w:rPr>
          <w:rFonts w:ascii="FreeSerif" w:hAnsi="FreeSerif"/>
          <w:sz w:val="22"/>
        </w:rPr>
        <w:t>C'est la contradiction centrale. Si l'on se bat pour que l'icône d'un peuple puisse accéder au pouvoir, et que cet homme accède effectivement au pouvoir grâce à ce combat, la distinction entre bénéficiaire et père relève de la rhétorique, pas de la réalité politique.</w:t>
      </w:r>
    </w:p>
    <w:p>
      <w:pPr>
        <w:spacing w:before="200" w:after="60"/>
        <w:pBdr>
          <w:bottom w:val="single" w:sz="7" w:space="3" w:color="A07820"/>
        </w:pBdr>
      </w:pPr>
      <w:r>
        <w:rPr>
          <w:rFonts w:ascii="FreeSerif" w:hAnsi="FreeSerif"/>
          <w:b/>
          <w:color w:val="2C3A4A"/>
          <w:sz w:val="23"/>
        </w:rPr>
        <w:t>II. Les trois deals — ce que Soro a dit en janvier</w:t>
      </w:r>
    </w:p>
    <w:p>
      <w:pPr>
        <w:spacing w:after="80"/>
      </w:pPr>
      <w:r>
        <w:rPr>
          <w:rFonts w:ascii="FreeSerif" w:hAnsi="FreeSerif"/>
          <w:sz w:val="22"/>
        </w:rPr>
        <w:t>Avant l'interview Espace TV, Soro avait organisé une conférence de presse en France en janvier (même année) où il avait évoqué trois engagements pris par Ouattara à son égard :</w:t>
      </w:r>
    </w:p>
    <w:p>
      <w:pPr>
        <w:pStyle w:val="Listepuces"/>
      </w:pPr>
      <w:r>
        <w:rPr>
          <w:rFonts w:ascii="FreeSerif" w:hAnsi="FreeSerif"/>
          <w:sz w:val="21"/>
        </w:rPr>
        <w:t>**La vice-présidence** — un poste créé spécifiquement pour lui, qui devait lui permettre d'accéder ensuite à la présidence</w:t>
      </w:r>
    </w:p>
    <w:p>
      <w:pPr>
        <w:pStyle w:val="Listepuces"/>
      </w:pPr>
      <w:r>
        <w:rPr>
          <w:rFonts w:ascii="FreeSerif" w:hAnsi="FreeSerif"/>
          <w:sz w:val="21"/>
        </w:rPr>
        <w:t>**La succession** — Ouattara devait lui passer le pouvoir après son mandat</w:t>
      </w:r>
    </w:p>
    <w:p>
      <w:pPr>
        <w:pStyle w:val="Listepuces"/>
      </w:pPr>
      <w:r>
        <w:rPr>
          <w:rFonts w:ascii="FreeSerif" w:hAnsi="FreeSerif"/>
          <w:sz w:val="21"/>
        </w:rPr>
        <w:t>**La réintégration politique** — retour garanti au premier plan de l'échiquier ivoirien</w:t>
      </w:r>
    </w:p>
    <w:p>
      <w:pPr>
        <w:spacing w:after="80"/>
      </w:pPr>
      <w:r>
        <w:rPr>
          <w:rFonts w:ascii="FreeSerif" w:hAnsi="FreeSerif"/>
          <w:sz w:val="22"/>
        </w:rPr>
        <w:t>Dans l'interview guinéenne, confronté à ces déclarations antérieures, Soro recule :</w:t>
      </w:r>
    </w:p>
    <w:p>
      <w:pPr>
        <w:spacing w:before="80" w:after="80"/>
        <w:ind w:left="680" w:right="680"/>
      </w:pPr>
      <w:r>
        <w:rPr>
          <w:rFonts w:ascii="FreeSerif" w:hAnsi="FreeSerif"/>
          <w:i/>
          <w:color w:val="8B1A1A"/>
          <w:sz w:val="21"/>
        </w:rPr>
        <w:t>*« Il faut que j'aie besoin de repréciser les choses... »*</w:t>
      </w:r>
    </w:p>
    <w:p>
      <w:pPr>
        <w:spacing w:after="80"/>
      </w:pPr>
      <w:r>
        <w:rPr>
          <w:rFonts w:ascii="FreeSerif" w:hAnsi="FreeSerif"/>
          <w:sz w:val="22"/>
        </w:rPr>
        <w:t>Les journalistes guinéens ne lâchent pas :</w:t>
      </w:r>
    </w:p>
    <w:p>
      <w:pPr>
        <w:spacing w:before="80" w:after="80"/>
        <w:ind w:left="680" w:right="680"/>
      </w:pPr>
      <w:r>
        <w:rPr>
          <w:rFonts w:ascii="FreeSerif" w:hAnsi="FreeSerif"/>
          <w:i/>
          <w:color w:val="8B1A1A"/>
          <w:sz w:val="21"/>
        </w:rPr>
        <w:t>*Mais vous avez dit ces trois choses clairement en janvier, monsieur le Président. Qu'est-ce qui a changé ?*</w:t>
      </w:r>
    </w:p>
    <w:p>
      <w:pPr>
        <w:spacing w:after="80"/>
      </w:pPr>
      <w:r>
        <w:rPr>
          <w:rFonts w:ascii="FreeSerif" w:hAnsi="FreeSerif"/>
          <w:sz w:val="22"/>
        </w:rPr>
        <w:t>Soro ne répond pas directement. Il esquive vers la temporalité — le deal n'est intervenu qu'en 2006 — sans nier son existence.</w:t>
      </w:r>
    </w:p>
    <w:p>
      <w:pPr>
        <w:spacing w:after="80"/>
      </w:pPr>
      <w:r>
        <w:rPr>
          <w:rFonts w:ascii="FreeSerif" w:hAnsi="FreeSerif"/>
          <w:sz w:val="22"/>
        </w:rPr>
        <w:t>Ce que révèle cet épisode : en palabre avec Ouattara au moment de l'interview guinéenne (il est en exil depuis 2019 mais les négociations se poursuivent), Soro choisit de ne pas brûler les ponts publiquement. Les journalistes identifient cette posture :</w:t>
      </w:r>
    </w:p>
    <w:p>
      <w:pPr>
        <w:spacing w:before="80" w:after="80"/>
        <w:ind w:left="680" w:right="680"/>
      </w:pPr>
      <w:r>
        <w:rPr>
          <w:rFonts w:ascii="FreeSerif" w:hAnsi="FreeSerif"/>
          <w:i/>
          <w:color w:val="8B1A1A"/>
          <w:sz w:val="21"/>
        </w:rPr>
        <w:t>*« Malgré qu'il y a palabre entre les deux, il venait encore pour défendre Draman Ouattara. [...] Ça veut dire la réconciliation peut sortir de là. Il va vous trahir et puis va se retrouver au RDR. »*</w:t>
      </w:r>
    </w:p>
    <w:p>
      <w:pPr>
        <w:spacing w:before="200" w:after="60"/>
        <w:pBdr>
          <w:bottom w:val="single" w:sz="7" w:space="3" w:color="A07820"/>
        </w:pBdr>
      </w:pPr>
      <w:r>
        <w:rPr>
          <w:rFonts w:ascii="FreeSerif" w:hAnsi="FreeSerif"/>
          <w:b/>
          <w:color w:val="2C3A4A"/>
          <w:sz w:val="23"/>
        </w:rPr>
        <w:t>III. La France, les avions et Gbagbo</w:t>
      </w:r>
    </w:p>
    <w:p>
      <w:pPr>
        <w:spacing w:before="120"/>
      </w:pPr>
      <w:r>
        <w:rPr>
          <w:rFonts w:ascii="FreeSerif" w:hAnsi="FreeSerif"/>
          <w:b/>
          <w:color w:val="2C3A4A"/>
          <w:sz w:val="22"/>
        </w:rPr>
        <w:t>Le récit officiel de novembre 2004</w:t>
      </w:r>
    </w:p>
    <w:p>
      <w:pPr>
        <w:spacing w:after="80"/>
      </w:pPr>
      <w:r>
        <w:rPr>
          <w:rFonts w:ascii="FreeSerif" w:hAnsi="FreeSerif"/>
          <w:sz w:val="22"/>
        </w:rPr>
        <w:t>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p>
      <w:pPr>
        <w:spacing w:before="120"/>
      </w:pPr>
      <w:r>
        <w:rPr>
          <w:rFonts w:ascii="FreeSerif" w:hAnsi="FreeSerif"/>
          <w:b/>
          <w:color w:val="2C3A4A"/>
          <w:sz w:val="22"/>
        </w:rPr>
        <w:t>La contre-lecture de Soro</w:t>
      </w:r>
    </w:p>
    <w:p>
      <w:pPr>
        <w:spacing w:after="80"/>
      </w:pPr>
      <w:r>
        <w:rPr>
          <w:rFonts w:ascii="FreeSerif" w:hAnsi="FreeSerif"/>
          <w:sz w:val="22"/>
        </w:rPr>
        <w:t>Soro, sans le dire explicitement, ouvre une fissure dans cette version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Herman le Patriote commente :</w:t>
      </w:r>
    </w:p>
    <w:p>
      <w:pPr>
        <w:spacing w:before="80" w:after="80"/>
        <w:ind w:left="680" w:right="680"/>
      </w:pPr>
      <w:r>
        <w:rPr>
          <w:rFonts w:ascii="FreeSerif" w:hAnsi="FreeSerif"/>
          <w:i/>
          <w:color w:val="8B1A1A"/>
          <w:sz w:val="21"/>
        </w:rPr>
        <w:t>*« Si c'est Gbagbo qui avait tué les neuf soldats français, il n'allait pas sortir de la CPI. [...] C'était un plan. Ça allait aider les rebelles à rentrer à Abidjan. »*</w:t>
      </w:r>
    </w:p>
    <w:p>
      <w:pPr>
        <w:spacing w:after="80"/>
      </w:pPr>
      <w:r>
        <w:rPr>
          <w:rFonts w:ascii="FreeSerif" w:hAnsi="FreeSerif"/>
          <w:sz w:val="22"/>
        </w:rPr>
        <w:t>La thèse : la France a détruit ses propres positions — ou les a laissé détruire dans des circonstances arrangées — pour avoir un casus belli permettant d'éliminer la force aérienne ivoirienne, qui seule pouvait stopper l'avance des Forces Nouvelles vers le sud. Sans couverture aérienne, Gbagbo ne pouvait pas reprendre le nord.</w:t>
      </w:r>
    </w:p>
    <w:p>
      <w:pPr>
        <w:spacing w:after="80"/>
      </w:pPr>
      <w:r>
        <w:rPr>
          <w:rFonts w:ascii="FreeSerif" w:hAnsi="FreeSerif"/>
          <w:sz w:val="22"/>
        </w:rPr>
        <w:t>L'argument 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 acquitté en 2019 de toutes les charges.</w:t>
      </w:r>
    </w:p>
    <w:p>
      <w:pPr>
        <w:spacing w:before="200" w:after="60"/>
        <w:pBdr>
          <w:bottom w:val="single" w:sz="7" w:space="3" w:color="A07820"/>
        </w:pBdr>
      </w:pPr>
      <w:r>
        <w:rPr>
          <w:rFonts w:ascii="FreeSerif" w:hAnsi="FreeSerif"/>
          <w:b/>
          <w:color w:val="2C3A4A"/>
          <w:sz w:val="23"/>
        </w:rPr>
        <w:t>IV. L'ivoirité — ce que Soro n'a pas dit</w:t>
      </w:r>
    </w:p>
    <w:p>
      <w:pPr>
        <w:spacing w:after="80"/>
      </w:pPr>
      <w:r>
        <w:rPr>
          <w:rFonts w:ascii="FreeSerif" w:hAnsi="FreeSerif"/>
          <w:sz w:val="22"/>
        </w:rPr>
        <w:t>Soro présente l'ivoirité comme une exclusion politique injuste ciblant les Nordistes et les communautés d'ascendance sahélienne. Il compare Bédié à Donald Trump — mais pour s'en démarquer :</w:t>
      </w:r>
    </w:p>
    <w:p>
      <w:pPr>
        <w:spacing w:before="80" w:after="80"/>
        <w:ind w:left="680" w:right="680"/>
      </w:pPr>
      <w:r>
        <w:rPr>
          <w:rFonts w:ascii="FreeSerif" w:hAnsi="FreeSerif"/>
          <w:i/>
          <w:color w:val="8B1A1A"/>
          <w:sz w:val="21"/>
        </w:rPr>
        <w:t>*« Si c'était le cas, pourquoi Bédié n'a pas chassé tous les étrangers ? Ce n'était pas ça. C'était simplement : consommons ivoirien. »*</w:t>
      </w:r>
    </w:p>
    <w:p>
      <w:pPr>
        <w:spacing w:after="80"/>
      </w:pPr>
      <w:r>
        <w:rPr>
          <w:rFonts w:ascii="FreeSerif" w:hAnsi="FreeSerif"/>
          <w:sz w:val="22"/>
        </w:rPr>
        <w:t>Ce que cette lecture occulte :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spacing w:after="80"/>
      </w:pPr>
      <w:r>
        <w:rPr>
          <w:rFonts w:ascii="FreeSerif" w:hAnsi="FreeSerif"/>
          <w:sz w:val="22"/>
        </w:rPr>
        <w:t>Ce que révèle l'exil de Soro : aujourd'hui au Niger, ayant quitté la Côte d'Ivoire fin 2019 après l'annonce de son arrestation pour complot contre l'État, Soro est l'archétype du chef de guerre instrumentalisé et abandonné. Celui qu'il présente comme son idéal — Ouattara — a signé son mandat d'arrêt.</w:t>
      </w:r>
    </w:p>
    <w:p>
      <w:pPr>
        <w:spacing w:before="200" w:after="60"/>
        <w:pBdr>
          <w:bottom w:val="single" w:sz="7" w:space="3" w:color="A07820"/>
        </w:pBdr>
      </w:pPr>
      <w:r>
        <w:rPr>
          <w:rFonts w:ascii="FreeSerif" w:hAnsi="FreeSerif"/>
          <w:b/>
          <w:color w:val="2C3A4A"/>
          <w:sz w:val="23"/>
        </w:rPr>
        <w:t>V. Le patron et le pion — la structure réelle</w:t>
      </w:r>
    </w:p>
    <w:p>
      <w:pPr>
        <w:spacing w:after="80"/>
      </w:pPr>
      <w:r>
        <w:rPr>
          <w:rFonts w:ascii="FreeSerif" w:hAnsi="FreeSerif"/>
          <w:sz w:val="22"/>
        </w:rPr>
        <w:t>L'interview Espace TV révèle, involontairement, la structure de pouvoir réelle derrière la crise ivoirienne :</w:t>
      </w:r>
    </w:p>
    <w:p>
      <w:pPr>
        <w:spacing w:after="80"/>
      </w:pPr>
      <w:r>
        <w:rPr>
          <w:rFonts w:ascii="FreeSerif" w:hAnsi="FreeSerif"/>
          <w:sz w:val="22"/>
        </w:rPr>
        <w:t>1. La France — présente depuis la décolonisation, disposant de bases militaires à Abidjan, liée par des accords de défense, et ayant des intérêts économiques directs (Total, Bouygues, Orange, sociétés d'exploitation minière et agricole).</w:t>
      </w:r>
    </w:p>
    <w:p>
      <w:pPr>
        <w:spacing w:after="80"/>
      </w:pPr>
      <w:r>
        <w:rPr>
          <w:rFonts w:ascii="FreeSerif" w:hAnsi="FreeSerif"/>
          <w:sz w:val="22"/>
        </w:rPr>
        <w:t>2. Ouattara — économiste formé au FMI, figure acceptable pour les institutions financières internationales et les chancelleries occidentales, présenté comme le candidat de la bonne gouvernance et de l'ouverture.</w:t>
      </w:r>
    </w:p>
    <w:p>
      <w:pPr>
        <w:spacing w:after="80"/>
      </w:pPr>
      <w:r>
        <w:rPr>
          <w:rFonts w:ascii="FreeSerif" w:hAnsi="FreeSerif"/>
          <w:sz w:val="22"/>
        </w:rPr>
        <w:t>3. Soro — le bras armé. Étudiant militant avec un réseau dans les campus, capacité de mobilisation, sans famille politique établie, sans fortune propre. Utile pour déclencher la rébellion. Encombrant dès qu'elle est gagnée.</w:t>
      </w:r>
    </w:p>
    <w:p>
      <w:pPr>
        <w:spacing w:after="80"/>
      </w:pPr>
      <w:r>
        <w:rPr>
          <w:rFonts w:ascii="FreeSerif" w:hAnsi="FreeSerif"/>
          <w:sz w:val="22"/>
        </w:rPr>
        <w:t>Herman le Patriote le formule sans ambages :</w:t>
      </w:r>
    </w:p>
    <w:p>
      <w:pPr>
        <w:spacing w:before="80" w:after="80"/>
        <w:ind w:left="680" w:right="680"/>
      </w:pPr>
      <w:r>
        <w:rPr>
          <w:rFonts w:ascii="FreeSerif" w:hAnsi="FreeSerif"/>
          <w:i/>
          <w:color w:val="8B1A1A"/>
          <w:sz w:val="21"/>
        </w:rPr>
        <w:t>*« La France t'a utilisé comme une orange. Elle t'a sucé. Et puis elle t'a jeté. Aujourd'hui tu es au Niger, tu tapes des textes sur ton téléphone, tu écris "mon périple vivace". »*</w:t>
      </w:r>
    </w:p>
    <w:p>
      <w:pPr>
        <w:spacing w:before="200" w:after="60"/>
        <w:pBdr>
          <w:bottom w:val="single" w:sz="7" w:space="3" w:color="A07820"/>
        </w:pBdr>
      </w:pPr>
      <w:r>
        <w:rPr>
          <w:rFonts w:ascii="FreeSerif" w:hAnsi="FreeSerif"/>
          <w:b/>
          <w:color w:val="2C3A4A"/>
          <w:sz w:val="23"/>
        </w:rPr>
        <w:t>VI. Le lien avec le Sahel</w:t>
      </w:r>
    </w:p>
    <w:p>
      <w:pPr>
        <w:spacing w:after="80"/>
      </w:pPr>
      <w:r>
        <w:rPr>
          <w:rFonts w:ascii="FreeSerif" w:hAnsi="FreeSerif"/>
          <w:sz w:val="22"/>
        </w:rPr>
        <w:t>Ce chapitre n'est pas une digression. Il est le chaînon manquant entre la logique du chapitre libyen (Chapitre 54) et la déstabilisation du Sahel.</w:t>
      </w:r>
    </w:p>
    <w:p>
      <w:pPr>
        <w:spacing w:after="80"/>
      </w:pPr>
      <w:r>
        <w:rPr>
          <w:rFonts w:ascii="FreeSerif" w:hAnsi="FreeSerif"/>
          <w:sz w:val="22"/>
        </w:rPr>
        <w:t>La séquence :</w:t>
      </w:r>
    </w:p>
    <w:p>
      <w:pPr>
        <w:pStyle w:val="Listepuces"/>
      </w:pPr>
      <w:r>
        <w:rPr>
          <w:rFonts w:ascii="FreeSerif" w:hAnsi="FreeSerif"/>
          <w:sz w:val="21"/>
        </w:rPr>
        <w:t>**2002** : Rébellion des Forces Nouvelles en Côte d'Ivoire. Soro prend le Nord. La France neutralise l'armée de l'air ivoirienne.</w:t>
      </w:r>
    </w:p>
    <w:p>
      <w:pPr>
        <w:pStyle w:val="Listepuces"/>
      </w:pPr>
      <w:r>
        <w:rPr>
          <w:rFonts w:ascii="FreeSerif" w:hAnsi="FreeSerif"/>
          <w:sz w:val="21"/>
        </w:rPr>
        <w:t>**2004** : Incident de Bouaké — destruction officielle des forces aériennes de Gbagbo.</w:t>
      </w:r>
    </w:p>
    <w:p>
      <w:pPr>
        <w:pStyle w:val="Listepuces"/>
      </w:pPr>
      <w:r>
        <w:rPr>
          <w:rFonts w:ascii="FreeSerif" w:hAnsi="FreeSerif"/>
          <w:sz w:val="21"/>
        </w:rPr>
        <w:t>**2010-2011** : Élections contestées, deuxième intervention française directe, capture de Gbagbo avec l'aide des forces de l'ONU et de la France (opération Licorne).</w:t>
      </w:r>
    </w:p>
    <w:p>
      <w:pPr>
        <w:pStyle w:val="Listepuces"/>
      </w:pPr>
      <w:r>
        <w:rPr>
          <w:rFonts w:ascii="FreeSerif" w:hAnsi="FreeSerif"/>
          <w:sz w:val="21"/>
        </w:rPr>
        <w:t>**Avril 2011** : Gbagbo arrêté. Ouattara au pouvoir. Les analystes du Département d'État américain notent que c'est un *« Hello Tripoli »* — un message à Kadhafi.</w:t>
      </w:r>
    </w:p>
    <w:p>
      <w:pPr>
        <w:pStyle w:val="Listepuces"/>
      </w:pPr>
      <w:r>
        <w:rPr>
          <w:rFonts w:ascii="FreeSerif" w:hAnsi="FreeSerif"/>
          <w:sz w:val="21"/>
        </w:rPr>
        <w:t>**Mars-octobre 2011** : Intervention en Libye. Kadhafi tué.</w:t>
      </w:r>
    </w:p>
    <w:p>
      <w:pPr>
        <w:pStyle w:val="Listepuces"/>
      </w:pPr>
      <w:r>
        <w:rPr>
          <w:rFonts w:ascii="FreeSerif" w:hAnsi="FreeSerif"/>
          <w:sz w:val="21"/>
        </w:rPr>
        <w:t>**2012** : Effondrement du Mali, retour des combattants touareg armés de Libye.</w:t>
      </w:r>
    </w:p>
    <w:p>
      <w:pPr>
        <w:spacing w:after="80"/>
      </w:pPr>
      <w:r>
        <w:rPr>
          <w:rFonts w:ascii="FreeSerif" w:hAnsi="FreeSerif"/>
          <w:sz w:val="22"/>
        </w:rPr>
        <w:t>La Côte d'Ivoire est le modèle qui préfigure la Libye. Même structure : rébellion interne, neutralisation de l'armée régulière par la France, intervention finale décisive, changement de régime présenté comme victoire démocratique.</w:t>
      </w:r>
    </w:p>
    <w:p>
      <w:pPr>
        <w:spacing w:after="80"/>
      </w:pPr>
      <w:r>
        <w:rPr>
          <w:rFonts w:ascii="FreeSerif" w:hAnsi="FreeSerif"/>
          <w:sz w:val="22"/>
        </w:rPr>
        <w:t>Soro est à la rébellion ivoirienne ce que le CNL (Conseil National Libyen) est à la rébellion libyenne : l'instrument local d'un changement de régime dont les bénéficiaires réels sont ailleurs.</w:t>
      </w:r>
    </w:p>
    <w:p>
      <w:pPr>
        <w:spacing w:before="200" w:after="60"/>
        <w:pBdr>
          <w:bottom w:val="single" w:sz="7" w:space="3" w:color="A07820"/>
        </w:pBdr>
      </w:pPr>
      <w:r>
        <w:rPr>
          <w:rFonts w:ascii="FreeSerif" w:hAnsi="FreeSerif"/>
          <w:b/>
          <w:color w:val="2C3A4A"/>
          <w:sz w:val="23"/>
        </w:rPr>
        <w:t>VII. Ce que révèle l'exil</w:t>
      </w:r>
    </w:p>
    <w:p>
      <w:pPr>
        <w:spacing w:after="80"/>
      </w:pPr>
      <w:r>
        <w:rPr>
          <w:rFonts w:ascii="FreeSerif" w:hAnsi="FreeSerif"/>
          <w:sz w:val="22"/>
        </w:rPr>
        <w:t>Fin 2019, Guillaume Soro annonce son retour en Côte d'Ivoire pour présenter sa candidature à la présidentielle de 2020. Son avion est refoulé. Il est condamné par contumace à vingt ans de prison pour recel de détournement de deniers publics et complot contre l'autorité de l'État.</w:t>
      </w:r>
    </w:p>
    <w:p>
      <w:pPr>
        <w:spacing w:after="80"/>
      </w:pPr>
      <w:r>
        <w:rPr>
          <w:rFonts w:ascii="FreeSerif" w:hAnsi="FreeSerif"/>
          <w:sz w:val="22"/>
        </w:rPr>
        <w:t>Il réside depuis au Niger — celui-là même qu'il avait contribué à déstabiliser indirectement en participant à la déstructuration du Sahel occidental.</w:t>
      </w:r>
    </w:p>
    <w:p>
      <w:pPr>
        <w:spacing w:after="80"/>
      </w:pPr>
      <w:r>
        <w:rPr>
          <w:rFonts w:ascii="FreeSerif" w:hAnsi="FreeSerif"/>
          <w:sz w:val="22"/>
        </w:rPr>
        <w:t>L'ironie géopolitique :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spacing w:after="80"/>
      </w:pPr>
      <w:r>
        <w:rPr>
          <w:rFonts w:ascii="FreeSerif" w:hAnsi="FreeSerif"/>
          <w:sz w:val="22"/>
        </w:rPr>
        <w:t>Chaque Noël, il poste des messages sur les réseaux sociaux. Les Ivoiriens de la diaspora débattent. Herman le Patriote analyse. Et Ouattara gouverne à Abidjan.</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spacing w:after="80"/>
      </w:pPr>
      <w:r>
        <w:rPr>
          <w:rFonts w:ascii="FreeSerif" w:hAnsi="FreeSerif"/>
          <w:sz w:val="22"/>
        </w:rPr>
        <w:t>Ce qu'il dit confirme l'essentiel :</w:t>
      </w:r>
    </w:p>
    <w:p>
      <w:pPr>
        <w:pStyle w:val="Listepuces"/>
      </w:pPr>
      <w:r>
        <w:rPr>
          <w:rFonts w:ascii="FreeSerif" w:hAnsi="FreeSerif"/>
          <w:sz w:val="21"/>
        </w:rPr>
        <w:t>Il y avait un *deal* — même si le mot le gêne</w:t>
      </w:r>
    </w:p>
    <w:p>
      <w:pPr>
        <w:pStyle w:val="Listepuces"/>
      </w:pPr>
      <w:r>
        <w:rPr>
          <w:rFonts w:ascii="FreeSerif" w:hAnsi="FreeSerif"/>
          <w:sz w:val="21"/>
        </w:rPr>
        <w:t>Ouattara en a tout bénéficié</w:t>
      </w:r>
    </w:p>
    <w:p>
      <w:pPr>
        <w:pStyle w:val="Listepuces"/>
      </w:pPr>
      <w:r>
        <w:rPr>
          <w:rFonts w:ascii="FreeSerif" w:hAnsi="FreeSerif"/>
          <w:sz w:val="21"/>
        </w:rPr>
        <w:t>La France a joué un rôle déterminant dans la défaite militaire de Gbagbo</w:t>
      </w:r>
    </w:p>
    <w:p>
      <w:pPr>
        <w:pStyle w:val="Listepuces"/>
      </w:pPr>
      <w:r>
        <w:rPr>
          <w:rFonts w:ascii="FreeSerif" w:hAnsi="FreeSerif"/>
          <w:sz w:val="21"/>
        </w:rPr>
        <w:t>Soro lui-même, le vainqueur de 2011, est aujourd'hui en exil</w:t>
      </w:r>
    </w:p>
    <w:p>
      <w:pPr>
        <w:spacing w:after="80"/>
      </w:pPr>
      <w:r>
        <w:rPr>
          <w:rFonts w:ascii="FreeSerif" w:hAnsi="FreeSerif"/>
          <w:sz w:val="22"/>
        </w:rPr>
        <w:t>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 chapitre est entièrement construit à partir de l'analyse produite par Hermann le Patriote 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spacing w:after="80"/>
      </w:pPr>
      <w:r>
        <w:rPr>
          <w:rFonts w:ascii="FreeSerif" w:hAnsi="FreeSerif"/>
          <w:sz w:val="22"/>
        </w:rPr>
        <w:t>L'interview Guillaume Soro / Espace TV Guinée a été postée il y a environ quatre ans sur cette chaîne guinéenne. Les connexions avec la Côte d'Ivoire comme signal à la Libye sont documentées dans le dossier déclassifié F-2014-20439, document C05780569 (Nelson Report, 12 avril 2011 — voir Chapitre 54, Section VI).</w:t>
      </w:r>
    </w:p>
    <w:p>
      <w:pPr>
        <w:spacing w:after="80"/>
      </w:pPr>
      <w:r>
        <w:rPr>
          <w:rFonts w:ascii="FreeSerif" w:hAnsi="FreeSerif"/>
          <w:sz w:val="22"/>
        </w:rPr>
        <w:t>À rapprocher de : Chapitre 54 — Libye : les câbles Clinton ; Chapitre 11 — La crise libyenne ; Chapitre 20 — La guerre proxy.</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Raineteau : conseiller, barbouze et cible de Wagner</w:t>
      </w:r>
    </w:p>
    <w:p>
      <w:pPr/>
      <w:r>
        <w:rPr>
          <w:rFonts w:ascii="FreeSerif" w:hAnsi="FreeSerif"/>
          <w:b/>
          <w:color w:val="2C3A4A"/>
          <w:sz w:val="22"/>
        </w:rPr>
        <w:t>Émission TPMP — 28 février 2022</w:t>
      </w:r>
    </w:p>
    <w:p>
      <w:pPr>
        <w:spacing w:after="80"/>
      </w:pPr>
      <w:r>
        <w:rPr>
          <w:rFonts w:ascii="FreeSerif" w:hAnsi="FreeSerif"/>
          <w:sz w:val="22"/>
        </w:rPr>
        <w:t>Source primaire : transcription de l'interview de Christophe Raineteau sur TPMP (Touche Pas à Mon Poste), France, 28 février 2022.</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À l'époque, il est conseiller géopolitique de l'ancien président centrafricain, puis patron d'une société de sécurité privée.</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Il travaille pour le maintien de la présence économique française en Centrafrique — mines, industries, intérêts commerciaux — dans un environnement sécuritaire dégradé.</w:t>
      </w:r>
    </w:p>
    <w:p>
      <w:pPr>
        <w:spacing w:after="80"/>
      </w:pPr>
      <w:r>
        <w:rPr>
          <w:rFonts w:ascii="FreeSerif" w:hAnsi="FreeSerif"/>
          <w:sz w:val="22"/>
        </w:rPr>
        <w:t>À la question directe de l'animateur — « Êtes-vous un espion qui travaille pour le gouvernement français ?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rémunéré ou non par les services de renseignement français, opérant sous couverture civile. Raineteau le confirme sans le nommer ainsi : il transmet des documents, des photos de matériel militaire, des comptes rendus de formation des troupes centrafricaines —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La formule est brutale mais précise dans sa logique : le changement d'alliance géopolitique se traduit, au niveau opérationnel, par l'élimination physique des réseaux de l'ancienne puissance. Raineteau fait partie de ces réseaux.</w:t>
      </w:r>
    </w:p>
    <w:p>
      <w:pPr>
        <w:spacing w:after="80"/>
      </w:pPr>
      <w:r>
        <w:rPr>
          <w:rFonts w:ascii="FreeSerif" w:hAnsi="FreeSerif"/>
          <w:sz w:val="22"/>
        </w:rPr>
        <w:t>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par des hommes que j'avais encore sur zone, des photos du matériel militaire, des hélicoptères, des comptes rendus faisant état des programmes de formation des troupes centrafricaines avec tout ce qui va bien — c'est-à-dire le breuvage à la russe — pour que tout le monde comprenne que la Russie est maintenant en Centrafrique. »*</w:t>
      </w:r>
    </w:p>
    <w:p>
      <w:pPr>
        <w:spacing w:before="200" w:after="60"/>
        <w:pBdr>
          <w:bottom w:val="single" w:sz="7" w:space="3" w:color="A07820"/>
        </w:pBdr>
      </w:pPr>
      <w:r>
        <w:rPr>
          <w:rFonts w:ascii="FreeSerif" w:hAnsi="FreeSerif"/>
          <w:b/>
          <w:color w:val="2C3A4A"/>
          <w:sz w:val="23"/>
        </w:rPr>
        <w:t>III.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La séquence des menaces, telle que Raineteau la décrit :</w:t>
      </w:r>
    </w:p>
    <w:p>
      <w:pPr/>
      <w:r>
        <w:rPr>
          <w:rFonts w:ascii="FreeSerif" w:hAnsi="FreeSerif"/>
          <w:b/>
          <w:color w:val="2C3A4A"/>
          <w:sz w:val="22"/>
        </w:rPr>
        <w:t>Les accusations fabriquées :</w:t>
      </w:r>
    </w:p>
    <w:p>
      <w:pPr>
        <w:pStyle w:val="Listepuces"/>
      </w:pPr>
      <w:r>
        <w:rPr>
          <w:rFonts w:ascii="FreeSerif" w:hAnsi="FreeSerif"/>
          <w:sz w:val="21"/>
        </w:rPr>
        <w:t>On lui attribue l'exécution de 25 personnes dans une église</w:t>
      </w:r>
    </w:p>
    <w:p>
      <w:pPr>
        <w:pStyle w:val="Listepuces"/>
      </w:pPr>
      <w:r>
        <w:rPr>
          <w:rFonts w:ascii="FreeSerif" w:hAnsi="FreeSerif"/>
          <w:sz w:val="21"/>
        </w:rPr>
        <w:t>On lui attribue le meurtre des trois journalistes russes d'opposition tués en 2018 — Orhan Dzhemal, Alexandre Rastorgouïev et Kirill Radtchenko — qu'il affirme avoir été tués par Wagner</w:t>
      </w:r>
    </w:p>
    <w:p>
      <w:pPr>
        <w:pStyle w:val="Listepuces"/>
      </w:pPr>
      <w:r>
        <w:rPr>
          <w:rFonts w:ascii="FreeSerif" w:hAnsi="FreeSerif"/>
          <w:sz w:val="21"/>
        </w:rPr>
        <w:t>Un mandat d'arrêt international est lancé contre lui</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personne au bout du fil</w:t>
      </w:r>
    </w:p>
    <w:p>
      <w:pPr>
        <w:pStyle w:val="Listepuces"/>
      </w:pPr>
      <w:r>
        <w:rPr>
          <w:rFonts w:ascii="FreeSerif" w:hAnsi="FreeSerif"/>
          <w:sz w:val="21"/>
        </w:rPr>
        <w:t>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Un seul épisode de tirs, mais des alertes répétées. Il interprète les tirs comme une intimidation plutôt qu'une tentative d'élimination réelle :</w:t>
      </w:r>
    </w:p>
    <w:p>
      <w:pPr>
        <w:spacing w:before="80" w:after="80"/>
        <w:ind w:left="680" w:right="680"/>
      </w:pPr>
      <w:r>
        <w:rPr>
          <w:rFonts w:ascii="FreeSerif" w:hAnsi="FreeSerif"/>
          <w:i/>
          <w:color w:val="8B1A1A"/>
          <w:sz w:val="21"/>
        </w:rPr>
        <w:t>*« C'est ferme ta gueule et tout se passera bien. »*</w:t>
      </w:r>
    </w:p>
    <w:p>
      <w:pPr>
        <w:spacing w:before="200" w:after="60"/>
        <w:pBdr>
          <w:bottom w:val="single" w:sz="7" w:space="3" w:color="A07820"/>
        </w:pBdr>
      </w:pPr>
      <w:r>
        <w:rPr>
          <w:rFonts w:ascii="FreeSerif" w:hAnsi="FreeSerif"/>
          <w:b/>
          <w:color w:val="2C3A4A"/>
          <w:sz w:val="23"/>
        </w:rPr>
        <w:t>IV. La vie sous protection — Nantes</w:t>
      </w:r>
    </w:p>
    <w:p>
      <w:pPr>
        <w:spacing w:after="80"/>
      </w:pPr>
      <w:r>
        <w:rPr>
          <w:rFonts w:ascii="FreeSerif" w:hAnsi="FreeSerif"/>
          <w:sz w:val="22"/>
        </w:rPr>
        <w:t>Raineteau vit à Nantes, sous surveillance permanente. Il décrit son quotidien :</w:t>
      </w:r>
    </w:p>
    <w:p>
      <w:pPr/>
      <w:r>
        <w:rPr>
          <w:rFonts w:ascii="FreeSerif" w:hAnsi="FreeSerif"/>
          <w:b/>
          <w:color w:val="2C3A4A"/>
          <w:sz w:val="22"/>
        </w:rPr>
        <w:t>Les mesures de sécurité :</w:t>
      </w:r>
    </w:p>
    <w:p>
      <w:pPr>
        <w:pStyle w:val="Listepuces"/>
      </w:pPr>
      <w:r>
        <w:rPr>
          <w:rFonts w:ascii="FreeSerif" w:hAnsi="FreeSerif"/>
          <w:sz w:val="21"/>
        </w:rPr>
        <w:t>Pas de boîte aux lettres à son nom</w:t>
      </w:r>
    </w:p>
    <w:p>
      <w:pPr>
        <w:pStyle w:val="Listepuces"/>
      </w:pPr>
      <w:r>
        <w:rPr>
          <w:rFonts w:ascii="FreeSerif" w:hAnsi="FreeSerif"/>
          <w:sz w:val="21"/>
        </w:rPr>
        <w:t>Pas de maison à son nom</w:t>
      </w:r>
    </w:p>
    <w:p>
      <w:pPr>
        <w:pStyle w:val="Listepuces"/>
      </w:pPr>
      <w:r>
        <w:rPr>
          <w:rFonts w:ascii="FreeSerif" w:hAnsi="FreeSerif"/>
          <w:sz w:val="21"/>
        </w:rPr>
        <w:t>Véhicules non enregistrés à son nom</w:t>
      </w:r>
    </w:p>
    <w:p>
      <w:pPr>
        <w:pStyle w:val="Listepuces"/>
      </w:pPr>
      <w:r>
        <w:rPr>
          <w:rFonts w:ascii="FreeSerif" w:hAnsi="FreeSerif"/>
          <w:sz w:val="21"/>
        </w:rPr>
        <w:t>Il voyage parfois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qu'on va m'embarquer, mais je ne sais pas quel sera le véhicule. Pour briser le quotidien, parce que je savais que j'étais suivi. »*</w:t>
      </w:r>
    </w:p>
    <w:p>
      <w:pPr>
        <w:spacing w:after="80"/>
      </w:pPr>
      <w:r>
        <w:rPr>
          <w:rFonts w:ascii="FreeSerif" w:hAnsi="FreeSerif"/>
          <w:sz w:val="22"/>
        </w:rPr>
        <w:t>La surveillance se confirme en direct, pendant l'enregistrement de l'émission :</w:t>
      </w:r>
    </w:p>
    <w:p>
      <w:pPr>
        <w:spacing w:before="80" w:after="80"/>
        <w:ind w:left="680" w:right="680"/>
      </w:pPr>
      <w:r>
        <w:rPr>
          <w:rFonts w:ascii="FreeSerif" w:hAnsi="FreeSerif"/>
          <w:i/>
          <w:color w:val="8B1A1A"/>
          <w:sz w:val="21"/>
        </w:rPr>
        <w:t>*« On était dans la loge, on a regardé par la fenêtre : il y avait une voiture avec quelqu'un qui avait un appareil photo. »*</w:t>
      </w:r>
    </w:p>
    <w:p>
      <w:pPr>
        <w:spacing w:before="200" w:after="60"/>
        <w:pBdr>
          <w:bottom w:val="single" w:sz="7" w:space="3" w:color="A07820"/>
        </w:pBdr>
      </w:pPr>
      <w:r>
        <w:rPr>
          <w:rFonts w:ascii="FreeSerif" w:hAnsi="FreeSerif"/>
          <w:b/>
          <w:color w:val="2C3A4A"/>
          <w:sz w:val="23"/>
        </w:rPr>
        <w:t>V. La liste de Poutine</w:t>
      </w:r>
    </w:p>
    <w:p>
      <w:pPr>
        <w:spacing w:after="80"/>
      </w:pPr>
      <w:r>
        <w:rPr>
          <w:rFonts w:ascii="FreeSerif" w:hAnsi="FreeSerif"/>
          <w:sz w:val="22"/>
        </w:rPr>
        <w:t>Raineteau se présente comme la cinquième personne sur la liste des ennemis publics de Vladimir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after="80"/>
      </w:pPr>
      <w:r>
        <w:rPr>
          <w:rFonts w:ascii="FreeSerif" w:hAnsi="FreeSerif"/>
          <w:sz w:val="22"/>
        </w:rPr>
        <w:t>L'animateur lui demande si cela lui fait peur :</w:t>
      </w:r>
    </w:p>
    <w:p>
      <w:pPr>
        <w:spacing w:before="80" w:after="80"/>
        <w:ind w:left="680" w:right="680"/>
      </w:pPr>
      <w:r>
        <w:rPr>
          <w:rFonts w:ascii="FreeSerif" w:hAnsi="FreeSerif"/>
          <w:i/>
          <w:color w:val="8B1A1A"/>
          <w:sz w:val="21"/>
        </w:rPr>
        <w:t>*« C'est quand même pas toujours réconfortant. C'est une vie qui n'est plus une vie. »*</w:t>
      </w:r>
    </w:p>
    <w:p>
      <w:pPr>
        <w:spacing w:after="80"/>
      </w:pPr>
      <w:r>
        <w:rPr>
          <w:rFonts w:ascii="FreeSerif" w:hAnsi="FreeSerif"/>
          <w:sz w:val="22"/>
        </w:rPr>
        <w:t>Mais il refuse d'en faire une raison de se taire. Quand on lui demande pourquoi il vient sur un plateau de télévision :</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before="200" w:after="60"/>
        <w:pBdr>
          <w:bottom w:val="single" w:sz="7" w:space="3" w:color="A07820"/>
        </w:pBdr>
      </w:pPr>
      <w:r>
        <w:rPr>
          <w:rFonts w:ascii="FreeSerif" w:hAnsi="FreeSerif"/>
          <w:b/>
          <w:color w:val="2C3A4A"/>
          <w:sz w:val="23"/>
        </w:rPr>
        <w:t>VI. Wagner — ce que Raineteau dit avoir vu</w:t>
      </w:r>
    </w:p>
    <w:p>
      <w:pPr>
        <w:spacing w:before="80" w:after="80"/>
        <w:ind w:left="680" w:right="680"/>
      </w:pPr>
      <w:r>
        <w:rPr>
          <w:rFonts w:ascii="FreeSerif" w:hAnsi="FreeSerif"/>
          <w:i/>
          <w:color w:val="8B1A1A"/>
          <w:sz w:val="21"/>
        </w:rPr>
        <w:t>*« Le groupe Wagner, ce sont des mercenaires engagés par un groupe privé proche du pouvoir russe. Ce sont des hommes extrêmement dangereux. »*</w:t>
      </w:r>
    </w:p>
    <w:p>
      <w:pPr>
        <w:spacing w:after="80"/>
      </w:pPr>
      <w:r>
        <w:rPr>
          <w:rFonts w:ascii="FreeSerif" w:hAnsi="FreeSerif"/>
          <w:sz w:val="22"/>
        </w:rPr>
        <w:t>Il affirme avoir des éléments prouvant que Wagner est responsable du meurtre des trois journalistes russes d'opposition en 2018 — tués en Centrafrique alors qu'ils enquêtaient précisément sur le groupe Wagner. C'est cette accusation qui lui a valu l'accusation symétrique — d'être lui-même l'auteur de ces meurtres.</w:t>
      </w:r>
    </w:p>
    <w:p>
      <w:pPr>
        <w:spacing w:after="80"/>
      </w:pPr>
      <w:r>
        <w:rPr>
          <w:rFonts w:ascii="FreeSerif" w:hAnsi="FreeSerif"/>
          <w:sz w:val="22"/>
        </w:rPr>
        <w:t>Les exactions documentées de Wagner en RCA, selon Raineteau : viols, meurtres, tortures, pillages. France 5 avait, la semaine précédant l'émission, consacré une enquête au groupe Wagner, estimant à environ dix mille agents le nombre de membres ayant défilé dans ses rangs depuis 2014.</w:t>
      </w:r>
    </w:p>
    <w:p>
      <w:pPr>
        <w:spacing w:before="200" w:after="60"/>
        <w:pBdr>
          <w:bottom w:val="single" w:sz="7" w:space="3" w:color="A07820"/>
        </w:pBdr>
      </w:pPr>
      <w:r>
        <w:rPr>
          <w:rFonts w:ascii="FreeSerif" w:hAnsi="FreeSerif"/>
          <w:b/>
          <w:color w:val="2C3A4A"/>
          <w:sz w:val="23"/>
        </w:rPr>
        <w:t>VII. La protection française — géométrie variable</w:t>
      </w:r>
    </w:p>
    <w:p>
      <w:pPr>
        <w:spacing w:after="80"/>
      </w:pPr>
      <w:r>
        <w:rPr>
          <w:rFonts w:ascii="FreeSerif" w:hAnsi="FreeSerif"/>
          <w:sz w:val="22"/>
        </w:rPr>
        <w:t>À la question : « L'État français vous protège-t-il ? »</w:t>
      </w:r>
    </w:p>
    <w:p>
      <w:pPr>
        <w:spacing w:before="80" w:after="80"/>
        <w:ind w:left="680" w:right="680"/>
      </w:pPr>
      <w:r>
        <w:rPr>
          <w:rFonts w:ascii="FreeSerif" w:hAnsi="FreeSerif"/>
          <w:i/>
          <w:color w:val="8B1A1A"/>
          <w:sz w:val="21"/>
        </w:rPr>
        <w:t>*« Une protection bassée en géométrie variable. La géopolitique internationale varie d'un jour sur l'autre. Un jour on se rapproche de Vladimir, le lendemain on s'en éloigne. C'est en fonction de ça.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La protection n'est pas une garantie. Elle est une variable géopolitique.</w:t>
      </w:r>
    </w:p>
    <w:p>
      <w:pPr>
        <w:spacing w:before="200" w:after="60"/>
        <w:pBdr>
          <w:bottom w:val="single" w:sz="7" w:space="3" w:color="A07820"/>
        </w:pBdr>
      </w:pPr>
      <w:r>
        <w:rPr>
          <w:rFonts w:ascii="FreeSerif" w:hAnsi="FreeSerif"/>
          <w:b/>
          <w:color w:val="2C3A4A"/>
          <w:sz w:val="23"/>
        </w:rPr>
        <w:t>VIII. Ce que cette interview révèle</w:t>
      </w:r>
    </w:p>
    <w:p>
      <w:pPr>
        <w:spacing w:after="80"/>
      </w:pPr>
      <w:r>
        <w:rPr>
          <w:rFonts w:ascii="FreeSerif" w:hAnsi="FreeSerif"/>
          <w:sz w:val="22"/>
        </w:rPr>
        <w:t>L'interview de Raineteau sur TPMP, diffusée le 28 février 2022 — le lendemain de l'invasion russe de l'Ukraine —, éclaire plusieurs dimensions du dossier centrafricain et sahélien :</w:t>
      </w:r>
    </w:p>
    <w:p>
      <w:pPr/>
      <w:r>
        <w:rPr>
          <w:rFonts w:ascii="FreeSerif" w:hAnsi="FreeSerif"/>
          <w:b/>
          <w:color w:val="2C3A4A"/>
          <w:sz w:val="22"/>
        </w:rPr>
        <w:t>La présence française en RCA fonctionnait via des réseaux parallèles</w:t>
      </w:r>
    </w:p>
    <w:p>
      <w:pPr>
        <w:spacing w:after="80"/>
      </w:pPr>
      <w:r>
        <w:rPr>
          <w:rFonts w:ascii="FreeSerif" w:hAnsi="FreeSerif"/>
          <w:sz w:val="22"/>
        </w:rPr>
        <w:t>Raineteau n'est pas un diplomate. Il est un opérateur privé qui fait remonter des informations vers les services. Cette architecture — entreprise de sécurité / réseau informel / renseignement — est le modèle de la présence française dans les zones à risque.</w:t>
      </w:r>
    </w:p>
    <w:p>
      <w:pPr/>
      <w:r>
        <w:rPr>
          <w:rFonts w:ascii="FreeSerif" w:hAnsi="FreeSerif"/>
          <w:b/>
          <w:color w:val="2C3A4A"/>
          <w:sz w:val="22"/>
        </w:rPr>
        <w:t>L'arrivée de Wagner en RCA a été perçue comme une menace directe pour ces réseaux</w:t>
      </w:r>
    </w:p>
    <w:p>
      <w:pPr>
        <w:spacing w:after="80"/>
      </w:pPr>
      <w:r>
        <w:rPr>
          <w:rFonts w:ascii="FreeSerif" w:hAnsi="FreeSerif"/>
          <w:sz w:val="22"/>
        </w:rPr>
        <w:t>Le basculement n'est pas seulement politique (un gouvernement choisit Moscou plutôt que Paris). Il est opérationnel : les réseaux d'informateurs français sont identifiés, menacés, éliminés ou contraints au silence.</w:t>
      </w:r>
    </w:p>
    <w:p>
      <w:pPr/>
      <w:r>
        <w:rPr>
          <w:rFonts w:ascii="FreeSerif" w:hAnsi="FreeSerif"/>
          <w:b/>
          <w:color w:val="2C3A4A"/>
          <w:sz w:val="22"/>
        </w:rPr>
        <w:t>Wagner utilisait les accusations pour neutraliser les témoins</w:t>
      </w:r>
    </w:p>
    <w:p>
      <w:pPr>
        <w:spacing w:after="80"/>
      </w:pPr>
      <w:r>
        <w:rPr>
          <w:rFonts w:ascii="FreeSerif" w:hAnsi="FreeSerif"/>
          <w:sz w:val="22"/>
        </w:rPr>
        <w:t>Attribuer à Raineteau les meurtres des journalistes russes — journalistes que Wagner avait lui-même tués — est une technique de neutralisation classique : discréditer le témoin en lui prêtant le crime dont on est coupable.</w:t>
      </w:r>
    </w:p>
    <w:p>
      <w:pPr/>
      <w:r>
        <w:rPr>
          <w:rFonts w:ascii="FreeSerif" w:hAnsi="FreeSerif"/>
          <w:b/>
          <w:color w:val="2C3A4A"/>
          <w:sz w:val="22"/>
        </w:rPr>
        <w:t>La protection de l'État est conditionnelle</w:t>
      </w:r>
    </w:p>
    <w:p>
      <w:pPr>
        <w:spacing w:after="80"/>
      </w:pPr>
      <w:r>
        <w:rPr>
          <w:rFonts w:ascii="FreeSerif" w:hAnsi="FreeSerif"/>
          <w:sz w:val="22"/>
        </w:rPr>
        <w:t>L'honorable correspondant n'est pas un agent officiel. Il n'a pas de couverture diplomatique, pas d'immunité, pas de garantie formelle de protection. Il est utile tant que la politique le demande. Il est gênant quand elle change.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L'histoire de Christophe Raineteau est celle d'un homme pris entre deux systèmes — l'influence française et la pénétration russe — dans un pays, la République centrafricaine, devenu laboratoire du basculement géopolitique africain.</w:t>
      </w:r>
    </w:p>
    <w:p>
      <w:pPr>
        <w:spacing w:after="80"/>
      </w:pPr>
      <w:r>
        <w:rPr>
          <w:rFonts w:ascii="FreeSerif" w:hAnsi="FreeSerif"/>
          <w:sz w:val="22"/>
        </w:rPr>
        <w:t>Il parle parce qu'il pense que le silence tue davantage. Il vit dans les coffres de voiture et change d'adresse en permanence. Et il reste, pour l'instant, vivant.</w:t>
      </w:r>
    </w:p>
    <w:p>
      <w:pPr>
        <w:spacing w:after="80"/>
      </w:pPr>
      <w:r>
        <w:rPr>
          <w:rFonts w:ascii="FreeSerif" w:hAnsi="FreeSerif"/>
          <w:sz w:val="22"/>
        </w:rPr>
        <w:t>Sa présence sur un plateau de télévision grand public, le soir même où des fileurs étaient dans la rue en bas, dit quelque chose sur les méthodes des deux camps — et sur la fragilité de ceux qui se retrouvent entre les deux.</w:t>
      </w:r>
    </w:p>
    <w:p>
      <w:pPr>
        <w:spacing w:after="80"/>
      </w:pPr>
      <w:r>
        <w:rPr>
          <w:rFonts w:ascii="FreeSerif" w:hAnsi="FreeSerif"/>
          <w:sz w:val="22"/>
        </w:rPr>
        <w:t>Source : TPMP, France, 28 février 2022. À rapprocher de : Chapitre 52 — RCA : Raineteau annonce un coup d'État ; Chapitre 46 — Histoire de la RCA ; Chapitre 49 — RCA : la guerre qui vient (Thomas Dietrich).</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