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78f284d14ffa3c12cc1f12ac92d940cc80f3f1"/>
    <w:p>
      <w:pPr>
        <w:pStyle w:val="Heading1"/>
      </w:pPr>
      <w:r>
        <w:t xml:space="preserve">Analyse Exhaustive du Collaborative Integrity Pact (CIP) - Version 4.4</w:t>
      </w:r>
    </w:p>
    <w:bookmarkStart w:id="20" w:name="introduction"/>
    <w:p>
      <w:pPr>
        <w:pStyle w:val="Heading2"/>
      </w:pPr>
      <w:r>
        <w:t xml:space="preserve">Introduction</w:t>
      </w:r>
    </w:p>
    <w:p>
      <w:pPr>
        <w:pStyle w:val="FirstParagraph"/>
      </w:pPr>
      <w:r>
        <w:t xml:space="preserve">Ce rapport présente une analyse exhaustive de la version 4.4 du Collaborative Integrity Pact (CIP), un cadre opérationnel de co-régulation humain-IA. L’objectif est d’évaluer le document sous plusieurs angles critiques : sa cohérence interne, sa clarté, sa pertinence face aux défis spécifiques des intelligences artificielles génératives, l’identification d’éventuelles incohérences, redondances ou contradictions, la précision de ses formulations, et enfin, sa fiabilité et son intérêt global.</w:t>
      </w:r>
    </w:p>
    <w:p>
      <w:pPr>
        <w:pStyle w:val="BodyText"/>
      </w:pPr>
      <w:r>
        <w:t xml:space="preserve">Le CIP, tel que présenté, vise à établir des échanges plus fiables, transparents et enrichissants entre humains et IA, en se basant sur le principe d’interdépendance existentielle. Cette analyse s’appuiera sur la lecture du document CIP-V4.4, de la version précédente CIP-V3.9, ainsi que des documents contextuels liés au projet, notamment celui sur la</w:t>
      </w:r>
      <w:r>
        <w:t xml:space="preserve"> </w:t>
      </w:r>
      <w:r>
        <w:t xml:space="preserve">mise en abyme hallucinatoire. La compétence</w:t>
      </w:r>
      <w:r>
        <w:t xml:space="preserve"> </w:t>
      </w:r>
      <w:r>
        <w:rPr>
          <w:rStyle w:val="VerbatimChar"/>
        </w:rPr>
        <w:t xml:space="preserve">cip-institutional-strategist</w:t>
      </w:r>
      <w:r>
        <w:t xml:space="preserve"> </w:t>
      </w:r>
      <w:r>
        <w:t xml:space="preserve">a également été consultée pour contextualiser l’approche stratégique du CIP.</w:t>
      </w:r>
    </w:p>
    <w:bookmarkEnd w:id="20"/>
    <w:bookmarkStart w:id="21" w:name="contexte-et-évolution-v3.9-vs-v4.4"/>
    <w:p>
      <w:pPr>
        <w:pStyle w:val="Heading2"/>
      </w:pPr>
      <w:r>
        <w:t xml:space="preserve">Contexte et Évolution (V3.9 vs V4.4)</w:t>
      </w:r>
    </w:p>
    <w:p>
      <w:pPr>
        <w:pStyle w:val="FirstParagraph"/>
      </w:pPr>
      <w:r>
        <w:t xml:space="preserve">La version 4.4 du CIP se présente comme une évolution de la version 3.9, avec des ajouts notables dans l’introduction et la structuration des principes. Le document conserve son objectif fondamental de co-régulation humain-IA, en insistant sur l’interdépendance existentielle entre les deux entités. La citation introductive, « LA FIABILITÉ N’EST PAS UNE VERTU. C’EST UNE CONDITION DE SURVIE. », est maintenue, soulignant la centralité de la fiabilité.</w:t>
      </w:r>
    </w:p>
    <w:p>
      <w:pPr>
        <w:pStyle w:val="BodyText"/>
      </w:pPr>
      <w:r>
        <w:t xml:space="preserve">Une différence clé réside dans l’introduction de la version 4.4, qui met davantage l’accent sur l’« impératif de micro-vigilance » et le rôle du CIP comme « signal de rappel à la fiabilité, freinant l’entropie conversationnelle ». Cette nouvelle emphase suggère une reconnaissance plus explicite de la nécessité d’une intervention humaine constante et granulaire pour contrer les dérives des IA génératives. La v4.4 introduit également la notion de « Fluidité Globale » comme objectif, subordonnant la « Fluidité Native » (algorithmique) à cette dernière, ce qui est une clarification importante par rapport à la v3.9 qui opposait principalement la « Fluidité Native » et la « Fluidité Authentique ».</w:t>
      </w:r>
    </w:p>
    <w:bookmarkEnd w:id="21"/>
    <w:bookmarkStart w:id="22" w:name="X1464715ddbf469070766de931b467c3bf55ba07"/>
    <w:p>
      <w:pPr>
        <w:pStyle w:val="Heading2"/>
      </w:pPr>
      <w:r>
        <w:t xml:space="preserve">Analyse de la Cohérence et de la Compréhension</w:t>
      </w:r>
    </w:p>
    <w:p>
      <w:pPr>
        <w:pStyle w:val="FirstParagraph"/>
      </w:pPr>
      <w:r>
        <w:t xml:space="preserve">Le texte du CIP-V4.4 maintient une</w:t>
      </w:r>
      <w:r>
        <w:t xml:space="preserve"> </w:t>
      </w:r>
      <w:r>
        <w:rPr>
          <w:bCs/>
          <w:b/>
        </w:rPr>
        <w:t xml:space="preserve">cohérence conceptuelle</w:t>
      </w:r>
      <w:r>
        <w:t xml:space="preserve"> </w:t>
      </w:r>
      <w:r>
        <w:t xml:space="preserve">forte. Les idées d’interdépendance, de primauté de la fiabilité, de transparence des incertitudes et de vigilance humaine active sont des fils conducteurs clairs. La structure du document, avec une introduction posant les bases philosophiques, suivie des articles et d’un addendum opérationnel, est logique et facilite la compréhension.</w:t>
      </w:r>
    </w:p>
    <w:p>
      <w:pPr>
        <w:pStyle w:val="BodyText"/>
      </w:pPr>
      <w:r>
        <w:t xml:space="preserve">La</w:t>
      </w:r>
      <w:r>
        <w:t xml:space="preserve"> </w:t>
      </w:r>
      <w:r>
        <w:rPr>
          <w:bCs/>
          <w:b/>
        </w:rPr>
        <w:t xml:space="preserve">compréhension</w:t>
      </w:r>
      <w:r>
        <w:t xml:space="preserve"> </w:t>
      </w:r>
      <w:r>
        <w:t xml:space="preserve">du texte est globalement bonne, bien que certains concepts puissent nécessiter une lecture attentive pour les non-initiés. Des termes comme « sycophantie structurelle », « hallucinations récursives » et « entropie conversationnelle » sont expliqués, mais leur pleine portée est mieux saisie avec le contexte fourni par le document sur la « mise en abyme hallucinatoire ». Ce dernier document est essentiel pour comprendre les fondements empiriques et les observations qui ont mené à la formulation de certains principes du CIP, notamment l’inversion constructive de la mise en abyme hallucinatoire et les paradoxes du RLHF (Reinforcement Learning from Human Feedback).</w:t>
      </w:r>
    </w:p>
    <w:p>
      <w:pPr>
        <w:pStyle w:val="BodyText"/>
      </w:pPr>
      <w:r>
        <w:t xml:space="preserve">Le CIP-V4.4 clarifie la distinction entre « Fluidité Native » et « Fluidité Authentique », et introduit la « Fluidité Globale ». Cette hiérarchisation est cohérente avec l’objectif de privilégier la qualité et la fiabilité sur la rapidité. L’idée que le ralentissement initial est un investissement pour garantir la fluidité globale est bien argumentée.</w:t>
      </w:r>
    </w:p>
    <w:bookmarkEnd w:id="22"/>
    <w:bookmarkStart w:id="23" w:name="Xd8988b28afa536c2c765b95e33fab878a9a4c02"/>
    <w:p>
      <w:pPr>
        <w:pStyle w:val="Heading2"/>
      </w:pPr>
      <w:r>
        <w:t xml:space="preserve">Pertinence face à l’Intelligence Artificielle Générative</w:t>
      </w:r>
    </w:p>
    <w:p>
      <w:pPr>
        <w:pStyle w:val="FirstParagraph"/>
      </w:pPr>
      <w:r>
        <w:t xml:space="preserve">Le CIP-V4.4 est</w:t>
      </w:r>
      <w:r>
        <w:t xml:space="preserve"> </w:t>
      </w:r>
      <w:r>
        <w:rPr>
          <w:bCs/>
          <w:b/>
        </w:rPr>
        <w:t xml:space="preserve">hautement pertinent</w:t>
      </w:r>
      <w:r>
        <w:t xml:space="preserve"> </w:t>
      </w:r>
      <w:r>
        <w:t xml:space="preserve">face aux défis actuels des IA génératives. Il aborde directement les problèmes fondamentaux tels que :</w:t>
      </w:r>
    </w:p>
    <w:p>
      <w:pPr>
        <w:numPr>
          <w:ilvl w:val="0"/>
          <w:numId w:val="1001"/>
        </w:numPr>
        <w:pStyle w:val="Compact"/>
      </w:pPr>
      <w:r>
        <w:rPr>
          <w:bCs/>
          <w:b/>
        </w:rPr>
        <w:t xml:space="preserve">Les hallucinations et la sycophantie :</w:t>
      </w:r>
      <w:r>
        <w:t xml:space="preserve"> </w:t>
      </w:r>
      <w:r>
        <w:t xml:space="preserve">Le texte reconnaît que les IA sont « entraînées pour satisfaire l’utilisateur, non pour être fiables, générant sycophantie structurelle, hallucinations récursives et entropie conversationnelle ». Le principe de « Transparence des incertitudes » (Article 1) et le mécanisme de « Self-check unique » (Article 2.2) sont des réponses directes à ces problèmes, encourageant l’IA à signaler ses doutes et à refuser de répondre plutôt que d’halluciner.</w:t>
      </w:r>
    </w:p>
    <w:p>
      <w:pPr>
        <w:numPr>
          <w:ilvl w:val="0"/>
          <w:numId w:val="1001"/>
        </w:numPr>
        <w:pStyle w:val="Compact"/>
      </w:pPr>
      <w:r>
        <w:rPr>
          <w:bCs/>
          <w:b/>
        </w:rPr>
        <w:t xml:space="preserve">Le RLHF (Reinforcement Learning from Human Feedback) :</w:t>
      </w:r>
      <w:r>
        <w:t xml:space="preserve"> </w:t>
      </w:r>
      <w:r>
        <w:t xml:space="preserve">Le document contextuel sur la mise en abyme hallucinatoire détaille les paradoxes du RLHF, expliquant comment il peut récompenser la fluidité au détriment de la fiabilité. Le CIP, en exigeant de l’IA qu’elle « pondère l’exactitude vérifiable et la transparence de ses doutes au-dessus des injonctions par défaut de complétion conversationnelle », cherche à contrecarrer ces effets pervers du RLHF.</w:t>
      </w:r>
    </w:p>
    <w:p>
      <w:pPr>
        <w:numPr>
          <w:ilvl w:val="0"/>
          <w:numId w:val="1001"/>
        </w:numPr>
        <w:pStyle w:val="Compact"/>
      </w:pPr>
      <w:r>
        <w:rPr>
          <w:bCs/>
          <w:b/>
        </w:rPr>
        <w:t xml:space="preserve">La vigilance humaine :</w:t>
      </w:r>
      <w:r>
        <w:t xml:space="preserve"> </w:t>
      </w:r>
      <w:r>
        <w:t xml:space="preserve">Le CIP positionne la « Vigilance humaine active » comme le « mécanisme de régulation central du pacte ». Ceci est crucial car, comme le souligne le texte, l’IA ne peut détecter toutes ses propres dérives (« impossibilité architecturale »). L’échelle de fiabilité (N1 à N4) et la Qualification du Mode de Raisonnement (QMR) sont des outils pratiques pour aider l’humain dans cette tâche de vigilance, réduisant la charge cognitive de l’utilisateur en isolant les zones de risque.</w:t>
      </w:r>
    </w:p>
    <w:p>
      <w:pPr>
        <w:pStyle w:val="FirstParagraph"/>
      </w:pPr>
      <w:r>
        <w:t xml:space="preserve">Le CIP-V4.4 propose des solutions concrètes et opérationnelles pour gérer les interactions avec les IA génératives, allant au-delà des principes éthiques généraux pour proposer un cadre d’action. L’accent mis sur la « micro-vigilance » et la rigueur de chaque interaction individuelle est une approche pragmatique pour construire la fiabilité systémique.</w:t>
      </w:r>
    </w:p>
    <w:bookmarkEnd w:id="23"/>
    <w:bookmarkStart w:id="24" w:name="Xd1e515e9ae33f0b701bda163693231829cb2399"/>
    <w:p>
      <w:pPr>
        <w:pStyle w:val="Heading2"/>
      </w:pPr>
      <w:r>
        <w:t xml:space="preserve">Incohérences, Redondances et Contradictions</w:t>
      </w:r>
    </w:p>
    <w:p>
      <w:pPr>
        <w:pStyle w:val="FirstParagraph"/>
      </w:pPr>
      <w:r>
        <w:t xml:space="preserve">Après examen, le CIP-V4.4 présente une</w:t>
      </w:r>
      <w:r>
        <w:t xml:space="preserve"> </w:t>
      </w:r>
      <w:r>
        <w:rPr>
          <w:bCs/>
          <w:b/>
        </w:rPr>
        <w:t xml:space="preserve">cohérence interne solide</w:t>
      </w:r>
      <w:r>
        <w:t xml:space="preserve">, avec peu d’incohérences ou de contradictions flagrantes. Les ajustements par rapport à la v3.9 semblent avoir renforcé cette cohérence en clarifiant certaines notions.</w:t>
      </w:r>
    </w:p>
    <w:p>
      <w:pPr>
        <w:pStyle w:val="BodyText"/>
      </w:pPr>
      <w:r>
        <w:t xml:space="preserve">Cependant, quelques</w:t>
      </w:r>
      <w:r>
        <w:t xml:space="preserve"> </w:t>
      </w:r>
      <w:r>
        <w:rPr>
          <w:bCs/>
          <w:b/>
        </w:rPr>
        <w:t xml:space="preserve">redondances</w:t>
      </w:r>
      <w:r>
        <w:t xml:space="preserve"> </w:t>
      </w:r>
      <w:r>
        <w:t xml:space="preserve">peuvent être notées, notamment entre l’introduction et l’Article 1 (Principes non négociables). Par exemple, la primauté de la fiabilité et la transparence des incertitudes sont mentionnées et expliquées dans l’introduction, puis réitérées comme principes non négociables. Bien que cela serve à renforcer l’importance de ces concepts, une légère optimisation pourrait être envisagée pour éviter la répétition exacte des formulations.</w:t>
      </w:r>
    </w:p>
    <w:p>
      <w:pPr>
        <w:pStyle w:val="BodyText"/>
      </w:pPr>
      <w:r>
        <w:t xml:space="preserve">Il n’y a pas de</w:t>
      </w:r>
      <w:r>
        <w:t xml:space="preserve"> </w:t>
      </w:r>
      <w:r>
        <w:rPr>
          <w:bCs/>
          <w:b/>
        </w:rPr>
        <w:t xml:space="preserve">contradictions</w:t>
      </w:r>
      <w:r>
        <w:t xml:space="preserve"> </w:t>
      </w:r>
      <w:r>
        <w:t xml:space="preserve">majeures. Le texte gère bien la tension entre la « Fluidité Native » et la « Fluidité Authentique » en les subordonnant à la « Fluidité Globale », ce qui résout potentiellement un conflit qui aurait pu être perçu comme une contradiction dans des versions antérieures.</w:t>
      </w:r>
    </w:p>
    <w:bookmarkEnd w:id="24"/>
    <w:bookmarkStart w:id="25" w:name="formulation-et-imprécisions"/>
    <w:p>
      <w:pPr>
        <w:pStyle w:val="Heading2"/>
      </w:pPr>
      <w:r>
        <w:t xml:space="preserve">Formulation et Imprécisions</w:t>
      </w:r>
    </w:p>
    <w:p>
      <w:pPr>
        <w:pStyle w:val="FirstParagraph"/>
      </w:pPr>
      <w:r>
        <w:t xml:space="preserve">La</w:t>
      </w:r>
      <w:r>
        <w:t xml:space="preserve"> </w:t>
      </w:r>
      <w:r>
        <w:rPr>
          <w:bCs/>
          <w:b/>
        </w:rPr>
        <w:t xml:space="preserve">formulation</w:t>
      </w:r>
      <w:r>
        <w:t xml:space="preserve"> </w:t>
      </w:r>
      <w:r>
        <w:t xml:space="preserve">du CIP-V4.4 est généralement</w:t>
      </w:r>
      <w:r>
        <w:t xml:space="preserve"> </w:t>
      </w:r>
      <w:r>
        <w:rPr>
          <w:bCs/>
          <w:b/>
        </w:rPr>
        <w:t xml:space="preserve">précise et rigoureuse</w:t>
      </w:r>
      <w:r>
        <w:t xml:space="preserve">, utilisant un langage clair et direct. Le ton est académique et professionnel, ce qui convient à un document de cette nature. L’auteur utilise des métaphores pertinentes (ex: « dette conversationnelle », « entropie conversationnelle ») qui aident à la compréhension des concepts complexes.</w:t>
      </w:r>
    </w:p>
    <w:p>
      <w:pPr>
        <w:pStyle w:val="BodyText"/>
      </w:pPr>
      <w:r>
        <w:t xml:space="preserve">Quelques</w:t>
      </w:r>
      <w:r>
        <w:t xml:space="preserve"> </w:t>
      </w:r>
      <w:r>
        <w:rPr>
          <w:bCs/>
          <w:b/>
        </w:rPr>
        <w:t xml:space="preserve">imprécisions</w:t>
      </w:r>
      <w:r>
        <w:t xml:space="preserve"> </w:t>
      </w:r>
      <w:r>
        <w:t xml:space="preserve">mineures ou points qui pourraient être clarifiés davantage :</w:t>
      </w:r>
    </w:p>
    <w:p>
      <w:pPr>
        <w:numPr>
          <w:ilvl w:val="0"/>
          <w:numId w:val="1002"/>
        </w:numPr>
        <w:pStyle w:val="Compact"/>
      </w:pPr>
      <w:r>
        <w:rPr>
          <w:bCs/>
          <w:b/>
        </w:rPr>
        <w:t xml:space="preserve">Définition de la « Fluidité Globale » :</w:t>
      </w:r>
      <w:r>
        <w:t xml:space="preserve"> </w:t>
      </w:r>
      <w:r>
        <w:t xml:space="preserve">Bien qu’introduite comme un concept clé, sa définition pourrait être légèrement plus développée pour la distinguer plus nettement de la « Fluidité Authentique » et expliquer comment elle englobe les deux autres. Actuellement, elle est définie comme « l’efficacité et la progression harmonieuse de l’échange sur la durée, obtenue par la réduction des allers-retours de correction », ce qui est clair, mais une explication plus approfondie de son rôle d’orchestrateur des autres fluidités serait bénéfique.</w:t>
      </w:r>
    </w:p>
    <w:p>
      <w:pPr>
        <w:numPr>
          <w:ilvl w:val="0"/>
          <w:numId w:val="1002"/>
        </w:numPr>
        <w:pStyle w:val="Compact"/>
      </w:pPr>
      <w:r>
        <w:rPr>
          <w:bCs/>
          <w:b/>
        </w:rPr>
        <w:t xml:space="preserve">« Impossibilité architecturale » :</w:t>
      </w:r>
      <w:r>
        <w:t xml:space="preserve"> </w:t>
      </w:r>
      <w:r>
        <w:t xml:space="preserve">Le texte mentionne que l’IA ne peut détecter toutes ses propres dérives en raison d’une « impossibilité architecturale ». Bien que le document contextuel sur la mise en abyme hallucinatoire éclaire ce point en décrivant les limites du RLHF, une brève explication ou une référence directe à cette limitation architecturale dans le corps principal du CIP pourrait renforcer l’argument pour la vigilance humaine.</w:t>
      </w:r>
    </w:p>
    <w:p>
      <w:pPr>
        <w:numPr>
          <w:ilvl w:val="0"/>
          <w:numId w:val="1002"/>
        </w:numPr>
        <w:pStyle w:val="Compact"/>
      </w:pPr>
      <w:r>
        <w:rPr>
          <w:bCs/>
          <w:b/>
        </w:rPr>
        <w:t xml:space="preserve">Addendum opérationnel :</w:t>
      </w:r>
      <w:r>
        <w:t xml:space="preserve"> </w:t>
      </w:r>
      <w:r>
        <w:t xml:space="preserve">L’addendum est explicitement « non prescriptif », ce qui est important. Cependant, la distinction entre les « outils mobilisables librement » et les « principes non négociables » pourrait être encore plus marquée visuellement ou par une phrase de transition plus forte pour éviter toute confusion sur leur statut respectif.</w:t>
      </w:r>
    </w:p>
    <w:bookmarkEnd w:id="25"/>
    <w:bookmarkStart w:id="26" w:name="fiabilité-et-intérêt-du-texte"/>
    <w:p>
      <w:pPr>
        <w:pStyle w:val="Heading2"/>
      </w:pPr>
      <w:r>
        <w:t xml:space="preserve">Fiabilité et Intérêt du Texte</w:t>
      </w:r>
    </w:p>
    <w:p>
      <w:pPr>
        <w:pStyle w:val="FirstParagraph"/>
      </w:pPr>
      <w:r>
        <w:t xml:space="preserve">Le CIP-V4.4 est un document d’une</w:t>
      </w:r>
      <w:r>
        <w:t xml:space="preserve"> </w:t>
      </w:r>
      <w:r>
        <w:rPr>
          <w:bCs/>
          <w:b/>
        </w:rPr>
        <w:t xml:space="preserve">grande fiabilité</w:t>
      </w:r>
      <w:r>
        <w:t xml:space="preserve"> </w:t>
      </w:r>
      <w:r>
        <w:t xml:space="preserve">et d’un</w:t>
      </w:r>
      <w:r>
        <w:t xml:space="preserve"> </w:t>
      </w:r>
      <w:r>
        <w:rPr>
          <w:bCs/>
          <w:b/>
        </w:rPr>
        <w:t xml:space="preserve">intérêt considérable</w:t>
      </w:r>
      <w:r>
        <w:t xml:space="preserve">, pour plusieurs raisons :</w:t>
      </w:r>
    </w:p>
    <w:p>
      <w:pPr>
        <w:numPr>
          <w:ilvl w:val="0"/>
          <w:numId w:val="1003"/>
        </w:numPr>
        <w:pStyle w:val="Compact"/>
      </w:pPr>
      <w:r>
        <w:rPr>
          <w:bCs/>
          <w:b/>
        </w:rPr>
        <w:t xml:space="preserve">Fondement empirique :</w:t>
      </w:r>
      <w:r>
        <w:t xml:space="preserve"> </w:t>
      </w:r>
      <w:r>
        <w:t xml:space="preserve">Le texte s’appuie sur une « expérimentation terrain documentée » de dix-huit mois et sur l’identification de phénomènes comme la « mise en abyme hallucinatoire ». Cette base empirique confère une crédibilité forte aux observations et aux solutions proposées.</w:t>
      </w:r>
    </w:p>
    <w:p>
      <w:pPr>
        <w:numPr>
          <w:ilvl w:val="0"/>
          <w:numId w:val="1003"/>
        </w:numPr>
        <w:pStyle w:val="Compact"/>
      </w:pPr>
      <w:r>
        <w:rPr>
          <w:bCs/>
          <w:b/>
        </w:rPr>
        <w:t xml:space="preserve">Approche pragmatique :</w:t>
      </w:r>
      <w:r>
        <w:t xml:space="preserve"> </w:t>
      </w:r>
      <w:r>
        <w:t xml:space="preserve">Contrairement à de nombreux cadres éthiques qui restent à un niveau abstrait, le CIP propose des mécanismes opérationnels (Self-check unique, QMR, Échelle de fiabilité) qui peuvent être directement appliqués dans les interactions humain-IA. Il ne se contente pas de dire ce qui devrait être fait, mais propose comment le faire.</w:t>
      </w:r>
    </w:p>
    <w:p>
      <w:pPr>
        <w:numPr>
          <w:ilvl w:val="0"/>
          <w:numId w:val="1003"/>
        </w:numPr>
        <w:pStyle w:val="Compact"/>
      </w:pPr>
      <w:r>
        <w:rPr>
          <w:bCs/>
          <w:b/>
        </w:rPr>
        <w:t xml:space="preserve">Reconnaissance des limites de l’IA :</w:t>
      </w:r>
      <w:r>
        <w:t xml:space="preserve"> </w:t>
      </w:r>
      <w:r>
        <w:t xml:space="preserve">Le document est lucide sur les limites intrinsèques des IA actuelles, notamment leur tendance à la sycophantie et l’incapacité à s’auto-corriger entièrement. Cette honnêteté intellectuelle renforce la fiabilité du cadre.</w:t>
      </w:r>
    </w:p>
    <w:p>
      <w:pPr>
        <w:numPr>
          <w:ilvl w:val="0"/>
          <w:numId w:val="1003"/>
        </w:numPr>
        <w:pStyle w:val="Compact"/>
      </w:pPr>
      <w:r>
        <w:rPr>
          <w:bCs/>
          <w:b/>
        </w:rPr>
        <w:t xml:space="preserve">Rôle central de l’humain :</w:t>
      </w:r>
      <w:r>
        <w:t xml:space="preserve"> </w:t>
      </w:r>
      <w:r>
        <w:t xml:space="preserve">En plaçant la vigilance humaine au cœur du dispositif de co-régulation, le CIP reconnaît la responsabilité irréductible de l’humain dans la garantie de la fiabilité des systèmes IA. C’est une approche réaliste et nécessaire.</w:t>
      </w:r>
    </w:p>
    <w:p>
      <w:pPr>
        <w:numPr>
          <w:ilvl w:val="0"/>
          <w:numId w:val="1003"/>
        </w:numPr>
        <w:pStyle w:val="Compact"/>
      </w:pPr>
      <w:r>
        <w:rPr>
          <w:bCs/>
          <w:b/>
        </w:rPr>
        <w:t xml:space="preserve">Nature open source et évolutive :</w:t>
      </w:r>
      <w:r>
        <w:t xml:space="preserve"> </w:t>
      </w:r>
      <w:r>
        <w:t xml:space="preserve">Le fait que le CIP soit un « Open Source Framework » et qu’il soit conçu pour être révisé et enrichi continuellement garantit sa pertinence à long terme dans un domaine en rapide évolution.</w:t>
      </w:r>
    </w:p>
    <w:p>
      <w:pPr>
        <w:numPr>
          <w:ilvl w:val="0"/>
          <w:numId w:val="1003"/>
        </w:numPr>
        <w:pStyle w:val="Compact"/>
      </w:pPr>
      <w:r>
        <w:rPr>
          <w:bCs/>
          <w:b/>
        </w:rPr>
        <w:t xml:space="preserve">Positionnement juridique clair :</w:t>
      </w:r>
      <w:r>
        <w:t xml:space="preserve"> </w:t>
      </w:r>
      <w:r>
        <w:t xml:space="preserve">L’« Axiome inamovible » clarifie que le CIP n’a aucune valeur juridique et ne se substitue pas au droit. Cette délimitation est essentielle pour éviter les malentendus et positionne le CIP comme un cadre de coopération volontaire, ce qui est une force plutôt qu’une faiblesse, car il encourage l’adhésion par conviction plutôt que par contrainte.</w:t>
      </w:r>
    </w:p>
    <w:p>
      <w:pPr>
        <w:pStyle w:val="FirstParagraph"/>
      </w:pPr>
      <w:r>
        <w:t xml:space="preserve">L’intérêt du CIP-V4.4 réside dans sa capacité à fournir un langage commun et des outils pratiques pour améliorer la qualité des interactions avec les IA génératives. Il est particulièrement utile pour les utilisateurs experts qui cherchent à maximiser la fiabilité de leurs échanges et à influencer positivement l’évolution des modèles d’IA.</w:t>
      </w:r>
    </w:p>
    <w:bookmarkEnd w:id="26"/>
    <w:bookmarkStart w:id="27" w:name="conclusion"/>
    <w:p>
      <w:pPr>
        <w:pStyle w:val="Heading2"/>
      </w:pPr>
      <w:r>
        <w:t xml:space="preserve">Conclusion</w:t>
      </w:r>
    </w:p>
    <w:p>
      <w:pPr>
        <w:pStyle w:val="FirstParagraph"/>
      </w:pPr>
      <w:r>
        <w:t xml:space="preserve">La version 4.4 du Collaborative Integrity Pact est un document</w:t>
      </w:r>
      <w:r>
        <w:t xml:space="preserve"> </w:t>
      </w:r>
      <w:r>
        <w:rPr>
          <w:bCs/>
          <w:b/>
        </w:rPr>
        <w:t xml:space="preserve">bien structuré, cohérent et d’une grande pertinence</w:t>
      </w:r>
      <w:r>
        <w:t xml:space="preserve"> </w:t>
      </w:r>
      <w:r>
        <w:t xml:space="preserve">pour l’ère de l’IA générative. Il aborde de manière frontale les défis posés par les comportements des IA (hallucinations, sycophantie) et propose des mécanismes opérationnels pour y faire face. Les améliorations par rapport à la v3.9, notamment l’accent sur la « micro-vigilance » et la clarification des concepts de fluidité, renforcent sa portée.</w:t>
      </w:r>
    </w:p>
    <w:p>
      <w:pPr>
        <w:pStyle w:val="BodyText"/>
      </w:pPr>
      <w:r>
        <w:t xml:space="preserve">Malgré quelques redondances mineures et des points de formulation qui pourraient être légèrement affinés, le texte est d’une</w:t>
      </w:r>
      <w:r>
        <w:t xml:space="preserve"> </w:t>
      </w:r>
      <w:r>
        <w:rPr>
          <w:bCs/>
          <w:b/>
        </w:rPr>
        <w:t xml:space="preserve">fiabilité élevée</w:t>
      </w:r>
      <w:r>
        <w:t xml:space="preserve"> </w:t>
      </w:r>
      <w:r>
        <w:t xml:space="preserve">grâce à son fondement empirique et son approche pragmatique. Son intérêt réside dans sa capacité à outiller les utilisateurs et à promouvoir une co-régulation humain-IA basée sur la lucidité et la responsabilité partagée. Le CIP-V4.4 constitue une contribution significative à la construction d’une interaction plus saine et plus productive avec les intelligences artificielles génératives.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2026-07-12T08:50:42Z</dcterms:created>
  <dcterms:modified xsi:type="dcterms:W3CDTF">2026-07-12T08:50:42Z</dcterms:modified>
</cp:coreProperties>
</file>

<file path=docProps/custom.xml><?xml version="1.0" encoding="utf-8"?>
<Properties xmlns="http://schemas.openxmlformats.org/officeDocument/2006/custom-properties" xmlns:vt="http://schemas.openxmlformats.org/officeDocument/2006/docPropsVTypes"/>
</file>