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blvpunbkjzb" w:id="0"/>
      <w:bookmarkEnd w:id="0"/>
      <w:r w:rsidDel="00000000" w:rsidR="00000000" w:rsidRPr="00000000">
        <w:rPr>
          <w:rtl w:val="0"/>
        </w:rPr>
        <w:t xml:space="preserve">Master Supply Agreement with European Hospital Group (Extract)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Term</w:t>
      </w:r>
      <w:r w:rsidDel="00000000" w:rsidR="00000000" w:rsidRPr="00000000">
        <w:rPr>
          <w:rtl w:val="0"/>
        </w:rPr>
        <w:t xml:space="preserve">: 5 years, automatic renewal unless terminated with 12 months’ notice.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Exclusivity</w:t>
      </w:r>
      <w:r w:rsidDel="00000000" w:rsidR="00000000" w:rsidRPr="00000000">
        <w:rPr>
          <w:rtl w:val="0"/>
        </w:rPr>
        <w:t xml:space="preserve">: Non-exclusive, hospital group free to source from competitors.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Pricing</w:t>
      </w:r>
      <w:r w:rsidDel="00000000" w:rsidR="00000000" w:rsidRPr="00000000">
        <w:rPr>
          <w:rtl w:val="0"/>
        </w:rPr>
        <w:t xml:space="preserve">: Annual indexation based on EU medical inflation index, capped at 3%.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Termination</w:t>
      </w:r>
      <w:r w:rsidDel="00000000" w:rsidR="00000000" w:rsidRPr="00000000">
        <w:rPr>
          <w:rtl w:val="0"/>
        </w:rPr>
        <w:t xml:space="preserve">: For cause (regulatory breach, insolvency, failure to supply) immediate termination allowed.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Warranty &amp; Service</w:t>
      </w:r>
      <w:r w:rsidDel="00000000" w:rsidR="00000000" w:rsidRPr="00000000">
        <w:rPr>
          <w:rtl w:val="0"/>
        </w:rPr>
        <w:t xml:space="preserve">: Devices covered by a 24-month warranty; on-site servicing included in contract price.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Indemnities</w:t>
      </w:r>
      <w:r w:rsidDel="00000000" w:rsidR="00000000" w:rsidRPr="00000000">
        <w:rPr>
          <w:rtl w:val="0"/>
        </w:rPr>
        <w:t xml:space="preserve">: Limited to the value of products supplied in the preceding 12 months.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