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g7givpwl35" w:id="0"/>
      <w:bookmarkEnd w:id="0"/>
      <w:r w:rsidDel="00000000" w:rsidR="00000000" w:rsidRPr="00000000">
        <w:rPr>
          <w:rtl w:val="0"/>
        </w:rPr>
        <w:t xml:space="preserve">Component Supply Agreement (Extract)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Supplier commits to delivering critical sensors with a minimum on-time delivery performance of 95%. Pricing adjustments permitted only for raw material indexation beyond 5% annually.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supplier must comply with the company’s Sustainability Code of Conduct, including environmental, social, and governance standards. Audit rights are reserved by the company.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Change of control clause requires written consent before assignment of the contract.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