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company has implemented a sustainability framework aligned with the EU Corporate Sustainability Reporting Directive (CSRD). Manufacturing facilities in Germany and Ireland are powered by 65% renewable electricity, with a commitment to achieve 90% by 2027. Waste management includes a “closed-loop” recycling program for plastics used in device components, reducing material waste by 18% year-over-year.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Suppliers are required to comply with the company’s Code of Conduct, which prohibits forced and child labor, mandates fair wages, and sets environmental standards. Supplier audits are conducted on a three-year cycle, with no significant violations reported in the last review cycle.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