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1rjhoibt2yix" w:id="0"/>
      <w:bookmarkEnd w:id="0"/>
      <w:r w:rsidDel="00000000" w:rsidR="00000000" w:rsidRPr="00000000">
        <w:rPr>
          <w:rtl w:val="0"/>
        </w:rPr>
        <w:t xml:space="preserve">GDPR &amp; HIPAA Compliance Statement</w:t>
      </w:r>
    </w:p>
    <w:p w:rsidR="00000000" w:rsidDel="00000000" w:rsidP="00000000" w:rsidRDefault="00000000" w:rsidRPr="00000000" w14:paraId="00000002">
      <w:pPr>
        <w:spacing w:after="240" w:before="240" w:lineRule="auto"/>
        <w:rPr/>
      </w:pPr>
      <w:r w:rsidDel="00000000" w:rsidR="00000000" w:rsidRPr="00000000">
        <w:rPr>
          <w:rtl w:val="0"/>
        </w:rPr>
        <w:t xml:space="preserve">The company processes patient and clinical data exclusively under anonymization and encryption standards that meet GDPR (EU) and HIPAA (US) requirements. Data is retained only for the period necessary to fulfill contractual or regulatory obligations, after which it is securely deleted.</w:t>
      </w:r>
    </w:p>
    <w:p w:rsidR="00000000" w:rsidDel="00000000" w:rsidP="00000000" w:rsidRDefault="00000000" w:rsidRPr="00000000" w14:paraId="00000003">
      <w:pPr>
        <w:spacing w:after="240" w:before="240" w:lineRule="auto"/>
        <w:rPr/>
      </w:pPr>
      <w:r w:rsidDel="00000000" w:rsidR="00000000" w:rsidRPr="00000000">
        <w:rPr>
          <w:rtl w:val="0"/>
        </w:rPr>
        <w:t xml:space="preserve">A third-party cybersecurity audit was conducted in Q3 2024, confirming compliance with ISO 27001 standards. No breaches have been reported in the past five years. Regular penetration testing is conducted annually.</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