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xey95u07xl" w:id="0"/>
      <w:bookmarkEnd w:id="0"/>
      <w:r w:rsidDel="00000000" w:rsidR="00000000" w:rsidRPr="00000000">
        <w:rPr>
          <w:rtl w:val="0"/>
        </w:rPr>
        <w:t xml:space="preserve">Patent &amp; Trademark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company owns 14 granted patents covering device design and proprietary algorithms for diagnostic imaging. Key patents have protection until 2037 in the EU, US, and APAC regions.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Trademarks for the brand and product names are registered in 42 jurisdictions. All R&amp;D staff and contractors sign IP assignment agreements, ensuring innovations remain company property.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active disputes or infringement claims are pending. A watch service is engaged to monitor potential competitor filings.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