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There are currently no outstanding claims or litigation against the company. In 2021, a minor warranty dispute with a hospital group in Spain was resolved amicably, with no financial or reputational impact. The company has not been subject to regulatory enforcement actions under MDR (EU Medical Device Regulation) or FDA oversight.</w:t>
      </w:r>
    </w:p>
    <w:p w:rsidR="00000000" w:rsidDel="00000000" w:rsidP="00000000" w:rsidRDefault="00000000" w:rsidRPr="00000000" w14:paraId="00000002">
      <w:pPr>
        <w:spacing w:after="240" w:before="240" w:lineRule="auto"/>
        <w:rPr/>
      </w:pPr>
      <w:r w:rsidDel="00000000" w:rsidR="00000000" w:rsidRPr="00000000">
        <w:rPr>
          <w:rtl w:val="0"/>
        </w:rPr>
        <w:t xml:space="preserve">Anti-corruption and compliance programs are in place, including annual training for management and staff in high-risk jurisdictions. No breaches or investigations have been reported.</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