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glm4rk1gncyi" w:id="0"/>
      <w:bookmarkEnd w:id="0"/>
      <w:r w:rsidDel="00000000" w:rsidR="00000000" w:rsidRPr="00000000">
        <w:rPr>
          <w:rtl w:val="0"/>
        </w:rPr>
        <w:t xml:space="preserve">Legal Questions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vbk3hgp7x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Sustainability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sustainability policies and reporting frameworks (e.g., GRI, SASB, EU CSRD) does the company adhere to?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company manage supply chain sustainability, especially for critical components sourced from regions with weak environmental standards?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company’s carbon footprint, waste management practices, and energy efficiency measures in production and logistics?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Have there been any regulatory inquiries or fines related to environmental or sustainability issues?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pln1kuaq9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Corporate Legal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Are there any ongoing or threatened litigations, arbitrations, or regulatory investigations against the company?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 the company ever faced product liability claims, recalls, or compliance violations with medical device regulations (e.g., MDR, FDA)?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material legal risks in key jurisdictions where the company operates or sells products?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 the company ever been subject to anti-bribery, anti-corruption, or sanctions investigations?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o2a6tmr5q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Labor Law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Are there any labor disputes, strikes, or unionization efforts ongoing or anticipated?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the company employ foreign workers, and are there any known visa, work permit, or compliance issues?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policies and controls in place to prevent child labor, forced labor, or unsafe working conditions across the company and its supply chain?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percentage of employees are under fixed-term or temporary contracts, and how are these managed from a compliance perspective?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dk1lmxr8j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Privacy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is patient and clinical trial data collected, stored, and protected under GDPR, HIPAA, or other applicable regulations?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 the company faced any data breaches, privacy complaints, or regulatory investigations related to data protection?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company’s data retention and deletion policy, and is it compliant with global standards?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cybersecurity risk managed, and are there regular third-party penetration tests or audits?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6y1qhkp0d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Intellectual Property &amp; Trademarks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Does the company hold patents or exclusive licenses for its core technologies, and are they protected in all relevant markets?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any ongoing or potential disputes regarding IP infringement (patents, trademarks, trade secrets)?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 R&amp;D and product development processes structured to ensure that all IP is properly assigned to the company and not retained by employees or contractors?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long is the remaining protection period on the company’s key patents, and are there any risks of competitors developing around them?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6hasq5zd3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Terms in Big Contracts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key terms in major customer contracts (termination clauses, exclusivity, change of control provisions)?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supplier agreements contain price adjustment mechanisms, supply guarantees, or liability caps that could materially impact profitability?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any restrictive covenants (e.g., non-compete, exclusivity, volume commitments) that limit growth opportunities?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are warranty, service, and indemnity obligations structured in major contracts with hospitals, clinics, or distributors?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