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CB" w:rsidRDefault="009B3028" w:rsidP="00B15F36">
      <w:pPr>
        <w:pStyle w:val="Heading2"/>
      </w:pPr>
      <w:r>
        <w:t>Simulation results for neutral PAA</w:t>
      </w:r>
    </w:p>
    <w:p w:rsidR="00F547FB" w:rsidRPr="00F547FB" w:rsidRDefault="00F547FB" w:rsidP="00F547FB">
      <w:r>
        <w:t>Unit molecular weight = 72 g/mol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193"/>
        <w:gridCol w:w="1193"/>
      </w:tblGrid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units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>
              <w:rPr>
                <w:rFonts w:cstheme="minorHAnsi"/>
              </w:rPr>
              <w:t>Δ</w:t>
            </w:r>
            <w:r>
              <w:t>G</w:t>
            </w:r>
            <w:r>
              <w:rPr>
                <w:vertAlign w:val="subscript"/>
              </w:rPr>
              <w:t>solvation</w:t>
            </w:r>
            <w:r>
              <w:t xml:space="preserve"> (kJ/mol)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 unit </w:t>
            </w:r>
            <w:r w:rsidR="00A21B7B">
              <w:rPr>
                <w:rFonts w:ascii="Calibri" w:hAnsi="Calibri" w:cs="Calibri"/>
                <w:color w:val="000000"/>
              </w:rPr>
              <w:t>(kJ/unit)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20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-7837.97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-391.899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25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-12713.55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-508.542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30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-14990.15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-499.672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35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-17961.86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-513.196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40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-21427.39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-535.685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45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-20758.41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-461.298</w:t>
            </w:r>
          </w:p>
        </w:tc>
      </w:tr>
      <w:tr w:rsidR="00710A98" w:rsidTr="00097362">
        <w:trPr>
          <w:trHeight w:val="285"/>
        </w:trPr>
        <w:tc>
          <w:tcPr>
            <w:tcW w:w="940" w:type="dxa"/>
            <w:noWrap/>
            <w:hideMark/>
          </w:tcPr>
          <w:p w:rsidR="00710A98" w:rsidRPr="00CB515D" w:rsidRDefault="00710A98" w:rsidP="00097362">
            <w:r w:rsidRPr="00CB515D">
              <w:t>50</w:t>
            </w:r>
          </w:p>
        </w:tc>
        <w:tc>
          <w:tcPr>
            <w:tcW w:w="1193" w:type="dxa"/>
            <w:noWrap/>
            <w:hideMark/>
          </w:tcPr>
          <w:p w:rsidR="00710A98" w:rsidRPr="00CB515D" w:rsidRDefault="00710A98" w:rsidP="00097362">
            <w:r w:rsidRPr="00CB515D">
              <w:t>-25150.20</w:t>
            </w:r>
          </w:p>
        </w:tc>
        <w:tc>
          <w:tcPr>
            <w:tcW w:w="1193" w:type="dxa"/>
            <w:vAlign w:val="bottom"/>
          </w:tcPr>
          <w:p w:rsidR="00710A98" w:rsidRDefault="00710A98" w:rsidP="000973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-503.004</w:t>
            </w:r>
          </w:p>
        </w:tc>
      </w:tr>
    </w:tbl>
    <w:p w:rsidR="00710A98" w:rsidRDefault="00710A98"/>
    <w:p w:rsidR="00D132E4" w:rsidRDefault="00771DD5">
      <w:r w:rsidRPr="00771DD5">
        <w:rPr>
          <w:noProof/>
          <w:lang w:eastAsia="en-GB" w:bidi="ta-IN"/>
        </w:rPr>
        <w:drawing>
          <wp:inline distT="0" distB="0" distL="0" distR="0" wp14:anchorId="38801A0C" wp14:editId="738351AC">
            <wp:extent cx="4486656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6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BF" w:rsidRDefault="00D132E4">
      <w:r>
        <w:t>Figure</w:t>
      </w:r>
      <w:r w:rsidR="00AE464C">
        <w:t xml:space="preserve">-1: Line fit for free energy of solvation vs number of units of neutral PAA. Slope </w:t>
      </w:r>
      <w:r w:rsidR="00C35144">
        <w:t>= -532 kJ/unit</w:t>
      </w:r>
    </w:p>
    <w:p w:rsidR="001E46BF" w:rsidRDefault="001E46BF">
      <w:r w:rsidRPr="001E46BF">
        <w:rPr>
          <w:noProof/>
          <w:lang w:eastAsia="en-GB" w:bidi="ta-IN"/>
        </w:rPr>
        <w:drawing>
          <wp:inline distT="0" distB="0" distL="0" distR="0" wp14:anchorId="4ABF5D9A" wp14:editId="0EE2896F">
            <wp:extent cx="4660901" cy="274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44" w:rsidRDefault="00C35144" w:rsidP="00C35144">
      <w:r>
        <w:t>Figure-2: Line fit for free energy of solvation vs log(number of units) of neutral PAA.</w:t>
      </w:r>
    </w:p>
    <w:p w:rsidR="00C364EC" w:rsidRDefault="00C364EC" w:rsidP="00C35144"/>
    <w:p w:rsidR="00C364EC" w:rsidRDefault="00C364EC" w:rsidP="00C364EC">
      <w:pPr>
        <w:pStyle w:val="Heading2"/>
      </w:pPr>
      <w:r>
        <w:t>Simulation results for charged PAA</w:t>
      </w:r>
    </w:p>
    <w:p w:rsidR="00F547FB" w:rsidRPr="00F547FB" w:rsidRDefault="00F547FB" w:rsidP="00F547FB">
      <w:r>
        <w:t>Unit molecular weight = 71 g/mol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305"/>
        <w:gridCol w:w="1081"/>
      </w:tblGrid>
      <w:tr w:rsidR="00C364EC" w:rsidTr="00345C6A">
        <w:trPr>
          <w:trHeight w:val="285"/>
        </w:trPr>
        <w:tc>
          <w:tcPr>
            <w:tcW w:w="940" w:type="dxa"/>
            <w:noWrap/>
            <w:hideMark/>
          </w:tcPr>
          <w:p w:rsidR="00C364EC" w:rsidRPr="00CB515D" w:rsidRDefault="00C364EC" w:rsidP="00097362">
            <w:r w:rsidRPr="00CB515D">
              <w:t>units</w:t>
            </w:r>
          </w:p>
        </w:tc>
        <w:tc>
          <w:tcPr>
            <w:tcW w:w="1305" w:type="dxa"/>
            <w:noWrap/>
            <w:hideMark/>
          </w:tcPr>
          <w:p w:rsidR="00C364EC" w:rsidRPr="00CB515D" w:rsidRDefault="00C364EC" w:rsidP="00097362">
            <w:r>
              <w:rPr>
                <w:rFonts w:cstheme="minorHAnsi"/>
              </w:rPr>
              <w:t>Δ</w:t>
            </w:r>
            <w:r>
              <w:t>G</w:t>
            </w:r>
            <w:r>
              <w:rPr>
                <w:vertAlign w:val="subscript"/>
              </w:rPr>
              <w:t>solvation</w:t>
            </w:r>
            <w:r>
              <w:t xml:space="preserve"> (kJ/mol)</w:t>
            </w:r>
          </w:p>
        </w:tc>
        <w:tc>
          <w:tcPr>
            <w:tcW w:w="1081" w:type="dxa"/>
            <w:vAlign w:val="bottom"/>
          </w:tcPr>
          <w:p w:rsidR="00C364EC" w:rsidRDefault="00C364EC" w:rsidP="000973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 unit </w:t>
            </w:r>
            <w:r w:rsidR="00865FFA">
              <w:rPr>
                <w:rFonts w:ascii="Calibri" w:hAnsi="Calibri" w:cs="Calibri"/>
                <w:color w:val="000000"/>
              </w:rPr>
              <w:t>(kJ/unit)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20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-61377.37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-3068.87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25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-71810.06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-2872.4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30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-100054.15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-3335.14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35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-104250.60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-2978.59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40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-112519.08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-2812.98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45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-127771.11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-2839.36</w:t>
            </w:r>
          </w:p>
        </w:tc>
      </w:tr>
      <w:tr w:rsidR="00345C6A" w:rsidTr="00345C6A">
        <w:trPr>
          <w:trHeight w:val="285"/>
        </w:trPr>
        <w:tc>
          <w:tcPr>
            <w:tcW w:w="940" w:type="dxa"/>
            <w:noWrap/>
            <w:hideMark/>
          </w:tcPr>
          <w:p w:rsidR="00345C6A" w:rsidRPr="00CB515D" w:rsidRDefault="00345C6A" w:rsidP="00345C6A">
            <w:r w:rsidRPr="00CB515D">
              <w:t>50</w:t>
            </w:r>
          </w:p>
        </w:tc>
        <w:tc>
          <w:tcPr>
            <w:tcW w:w="1305" w:type="dxa"/>
            <w:noWrap/>
            <w:vAlign w:val="bottom"/>
            <w:hideMark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-141572.00</w:t>
            </w:r>
          </w:p>
        </w:tc>
        <w:tc>
          <w:tcPr>
            <w:tcW w:w="1081" w:type="dxa"/>
            <w:vAlign w:val="bottom"/>
          </w:tcPr>
          <w:p w:rsidR="00345C6A" w:rsidRDefault="00345C6A" w:rsidP="00345C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-2831.44</w:t>
            </w:r>
          </w:p>
        </w:tc>
      </w:tr>
    </w:tbl>
    <w:p w:rsidR="00C364EC" w:rsidRDefault="000D7560" w:rsidP="00C364EC">
      <w:r w:rsidRPr="000D7560">
        <w:rPr>
          <w:noProof/>
          <w:lang w:eastAsia="en-GB" w:bidi="ta-IN"/>
        </w:rPr>
        <w:drawing>
          <wp:inline distT="0" distB="0" distL="0" distR="0" wp14:anchorId="7BAFD1B1" wp14:editId="30058A32">
            <wp:extent cx="4476070" cy="2743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0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EC" w:rsidRDefault="00C364EC" w:rsidP="00C364EC">
      <w:r>
        <w:t>Figure</w:t>
      </w:r>
      <w:r w:rsidR="00AD4716">
        <w:t>-3</w:t>
      </w:r>
      <w:r>
        <w:t xml:space="preserve">: Line fit for free energy of solvation vs number of units of </w:t>
      </w:r>
      <w:r w:rsidR="00AC29A0">
        <w:t xml:space="preserve">charged </w:t>
      </w:r>
      <w:r>
        <w:t>PAA. Slope = -</w:t>
      </w:r>
      <w:r w:rsidR="0026676D">
        <w:t>2607</w:t>
      </w:r>
      <w:r>
        <w:t xml:space="preserve"> kJ/unit</w:t>
      </w:r>
    </w:p>
    <w:p w:rsidR="00C364EC" w:rsidRDefault="0026676D" w:rsidP="00C364EC">
      <w:r w:rsidRPr="0026676D">
        <w:rPr>
          <w:noProof/>
          <w:lang w:eastAsia="en-GB" w:bidi="ta-IN"/>
        </w:rPr>
        <w:drawing>
          <wp:inline distT="0" distB="0" distL="0" distR="0" wp14:anchorId="78FAAF18" wp14:editId="05190DBA">
            <wp:extent cx="4468368" cy="2743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36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16" w:rsidRDefault="00C364EC" w:rsidP="00C364EC">
      <w:r>
        <w:t>Figure</w:t>
      </w:r>
      <w:r w:rsidR="00AD4716">
        <w:t>-4</w:t>
      </w:r>
      <w:r>
        <w:t xml:space="preserve">: Line fit for free energy of solvation vs log(number of units) of </w:t>
      </w:r>
      <w:r w:rsidR="00B50908">
        <w:t>charged</w:t>
      </w:r>
      <w:r>
        <w:t xml:space="preserve"> PAA. </w:t>
      </w:r>
    </w:p>
    <w:p w:rsidR="00F547FB" w:rsidRPr="00F547FB" w:rsidRDefault="00AD4716" w:rsidP="00F547FB">
      <w:pPr>
        <w:pStyle w:val="Heading2"/>
      </w:pPr>
      <w:r>
        <w:lastRenderedPageBreak/>
        <w:t xml:space="preserve">Difference in solvation free energies: charged </w:t>
      </w:r>
      <w:r w:rsidR="00F547FB">
        <w:t>–</w:t>
      </w:r>
      <w:r>
        <w:t xml:space="preserve"> neutral</w:t>
      </w:r>
    </w:p>
    <w:p w:rsidR="00AD4716" w:rsidRDefault="00AD4716" w:rsidP="00C364EC">
      <w:r w:rsidRPr="00AD4716">
        <w:rPr>
          <w:noProof/>
          <w:lang w:eastAsia="en-GB" w:bidi="ta-IN"/>
        </w:rPr>
        <w:drawing>
          <wp:inline distT="0" distB="0" distL="0" distR="0" wp14:anchorId="7C328422" wp14:editId="4985438A">
            <wp:extent cx="4534678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67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F5" w:rsidRPr="005410F5" w:rsidRDefault="005410F5" w:rsidP="00C364EC">
      <w:r>
        <w:t xml:space="preserve">Figure-5: </w:t>
      </w:r>
      <w:r>
        <w:rPr>
          <w:rFonts w:cstheme="minorHAnsi"/>
        </w:rPr>
        <w:t>Δ</w:t>
      </w:r>
      <w:r>
        <w:t>G</w:t>
      </w:r>
      <w:r>
        <w:rPr>
          <w:vertAlign w:val="subscript"/>
        </w:rPr>
        <w:t xml:space="preserve">solvation </w:t>
      </w:r>
      <w:r>
        <w:t>vs number of units</w:t>
      </w:r>
    </w:p>
    <w:p w:rsidR="00AD4716" w:rsidRDefault="00AD4716" w:rsidP="00C364EC">
      <w:r w:rsidRPr="00AD4716">
        <w:rPr>
          <w:noProof/>
          <w:lang w:eastAsia="en-GB" w:bidi="ta-IN"/>
        </w:rPr>
        <w:drawing>
          <wp:inline distT="0" distB="0" distL="0" distR="0" wp14:anchorId="23DEBBA0" wp14:editId="69F6702E">
            <wp:extent cx="4475110" cy="27432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51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AB" w:rsidRDefault="006F7CD8" w:rsidP="00F10DAB">
      <w:r>
        <w:t>Figure-6</w:t>
      </w:r>
      <w:r w:rsidR="00F10DAB">
        <w:t xml:space="preserve">: </w:t>
      </w:r>
      <w:r w:rsidR="00F10DAB">
        <w:rPr>
          <w:rFonts w:cstheme="minorHAnsi"/>
        </w:rPr>
        <w:t>Δ</w:t>
      </w:r>
      <w:r w:rsidR="00F10DAB">
        <w:t>G</w:t>
      </w:r>
      <w:r w:rsidR="00F10DAB">
        <w:rPr>
          <w:vertAlign w:val="subscript"/>
        </w:rPr>
        <w:t xml:space="preserve">solvation </w:t>
      </w:r>
      <w:r w:rsidR="00F10DAB">
        <w:t>vs log(number of units)</w:t>
      </w:r>
    </w:p>
    <w:p w:rsidR="003959AC" w:rsidRDefault="003959AC" w:rsidP="00F10DAB"/>
    <w:p w:rsidR="003959AC" w:rsidRDefault="003959AC" w:rsidP="00F10DAB"/>
    <w:p w:rsidR="003959AC" w:rsidRDefault="003959AC" w:rsidP="00F10DAB"/>
    <w:p w:rsidR="003959AC" w:rsidRDefault="003959AC" w:rsidP="00F10DAB"/>
    <w:p w:rsidR="003959AC" w:rsidRDefault="003959AC" w:rsidP="00F10DAB"/>
    <w:p w:rsidR="00815278" w:rsidRDefault="00815278" w:rsidP="00F10DAB"/>
    <w:p w:rsidR="00815278" w:rsidRDefault="00815278" w:rsidP="00F10DAB"/>
    <w:p w:rsidR="00815278" w:rsidRDefault="00815278" w:rsidP="00F10DAB"/>
    <w:p w:rsidR="00815278" w:rsidRDefault="00815278" w:rsidP="00815278">
      <w:pPr>
        <w:pStyle w:val="Heading2"/>
      </w:pPr>
      <w:r>
        <w:lastRenderedPageBreak/>
        <w:t>Comparison-1: Glycine</w:t>
      </w:r>
    </w:p>
    <w:p w:rsidR="00815278" w:rsidRDefault="00815278" w:rsidP="00815278">
      <w:pPr>
        <w:rPr>
          <w:rStyle w:val="title-text"/>
          <w:rFonts w:ascii="Times New Roman" w:hAnsi="Times New Roman" w:cs="Times New Roman"/>
        </w:rPr>
      </w:pPr>
      <w:r>
        <w:t xml:space="preserve">Paper - </w:t>
      </w:r>
      <w:r w:rsidRPr="00211983">
        <w:rPr>
          <w:rStyle w:val="title-text"/>
          <w:rFonts w:ascii="Times New Roman" w:hAnsi="Times New Roman" w:cs="Times New Roman"/>
        </w:rPr>
        <w:t>Solvation Free Energy of the Peptide Group: Its Model Dependence and Implications for the Additive-Transfer Free-Energy Model of Protein Stability</w:t>
      </w:r>
    </w:p>
    <w:p w:rsidR="00815278" w:rsidRDefault="00815278" w:rsidP="00815278">
      <w:pPr>
        <w:rPr>
          <w:rStyle w:val="Hyperlink"/>
          <w:rFonts w:ascii="Times New Roman" w:hAnsi="Times New Roman" w:cs="Times New Roman"/>
        </w:rPr>
      </w:pPr>
      <w:r w:rsidRPr="00211983">
        <w:rPr>
          <w:rFonts w:ascii="Times New Roman" w:hAnsi="Times New Roman" w:cs="Times New Roman"/>
        </w:rPr>
        <w:t xml:space="preserve">Dheeraj S. Tomar, D. Asthagiri, Valéry Weber, Biophysical Journal, Volume 105, Issue 6, 2013, Pages 1482-1490, </w:t>
      </w:r>
      <w:hyperlink r:id="rId13" w:history="1">
        <w:r w:rsidRPr="00211983">
          <w:rPr>
            <w:rStyle w:val="Hyperlink"/>
            <w:rFonts w:ascii="Times New Roman" w:hAnsi="Times New Roman" w:cs="Times New Roman"/>
          </w:rPr>
          <w:t>https://doi.org/10.1016/j.bpj.2013.08.011</w:t>
        </w:r>
      </w:hyperlink>
    </w:p>
    <w:p w:rsidR="00ED39B9" w:rsidRPr="00ED39B9" w:rsidRDefault="00ED39B9" w:rsidP="00815278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Polymer used: chain of Glycines – (Gly)</w:t>
      </w:r>
      <w:r>
        <w:rPr>
          <w:rFonts w:ascii="Times New Roman" w:hAnsi="Times New Roman" w:cs="Times New Roman"/>
          <w:vertAlign w:val="subscript"/>
        </w:rPr>
        <w:t>n</w:t>
      </w:r>
    </w:p>
    <w:p w:rsidR="0083026E" w:rsidRPr="00211983" w:rsidRDefault="0083026E" w:rsidP="0081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Glycine molecular weight = 75 g/mol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2054"/>
      </w:tblGrid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delta G / unit (kJ/mol)</w:t>
            </w:r>
          </w:p>
        </w:tc>
      </w:tr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PAA - uncharged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-487.6135595</w:t>
            </w:r>
          </w:p>
        </w:tc>
      </w:tr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PAA - 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-2962.681829</w:t>
            </w:r>
          </w:p>
        </w:tc>
      </w:tr>
      <w:tr w:rsidR="003C4977" w:rsidRPr="003C4977" w:rsidTr="003C49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b/>
                <w:bCs/>
                <w:lang w:eastAsia="en-GB" w:bidi="ta-IN"/>
              </w:rPr>
              <w:t>Glycine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4977" w:rsidRPr="003C4977" w:rsidRDefault="003C4977" w:rsidP="003C49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3C4977">
              <w:rPr>
                <w:rFonts w:ascii="Calibri" w:eastAsia="Times New Roman" w:hAnsi="Calibri" w:cs="Calibri"/>
                <w:lang w:eastAsia="en-GB" w:bidi="ta-IN"/>
              </w:rPr>
              <w:t>-26.89714286</w:t>
            </w:r>
          </w:p>
        </w:tc>
      </w:tr>
    </w:tbl>
    <w:p w:rsidR="00F10DAB" w:rsidRDefault="00F10DAB" w:rsidP="00C364EC"/>
    <w:p w:rsidR="00C364EC" w:rsidRDefault="00C364EC" w:rsidP="00C35144"/>
    <w:p w:rsidR="00C35144" w:rsidRDefault="003C4977">
      <w:r w:rsidRPr="003C4977">
        <w:rPr>
          <w:noProof/>
          <w:lang w:eastAsia="en-GB" w:bidi="ta-IN"/>
        </w:rPr>
        <w:drawing>
          <wp:inline distT="0" distB="0" distL="0" distR="0" wp14:anchorId="468BA4F0" wp14:editId="0D59A425">
            <wp:extent cx="3511769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6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CC" w:rsidRDefault="003C4977" w:rsidP="003C4977">
      <w:pPr>
        <w:tabs>
          <w:tab w:val="left" w:pos="5287"/>
        </w:tabs>
        <w:rPr>
          <w:rStyle w:val="captions"/>
        </w:rPr>
      </w:pPr>
      <w:r>
        <w:rPr>
          <w:rStyle w:val="captions"/>
        </w:rPr>
        <w:t xml:space="preserve">The </w:t>
      </w:r>
      <w:hyperlink r:id="rId15" w:tooltip="Learn more about solvation from ScienceDirect's AI-generated Topic Pages" w:history="1">
        <w:r>
          <w:rPr>
            <w:rStyle w:val="Hyperlink"/>
          </w:rPr>
          <w:t>solvation</w:t>
        </w:r>
      </w:hyperlink>
      <w:r>
        <w:rPr>
          <w:rStyle w:val="captions"/>
        </w:rPr>
        <w:t xml:space="preserve"> free energy (Eq. 3) versus </w:t>
      </w:r>
      <w:r>
        <w:rPr>
          <w:rStyle w:val="Emphasis"/>
        </w:rPr>
        <w:t>n</w:t>
      </w:r>
      <w:r>
        <w:rPr>
          <w:rStyle w:val="captions"/>
        </w:rPr>
        <w:t xml:space="preserve"> for blocked (Gly)</w:t>
      </w:r>
      <w:r>
        <w:rPr>
          <w:rStyle w:val="Emphasis"/>
          <w:vertAlign w:val="subscript"/>
        </w:rPr>
        <w:t>n</w:t>
      </w:r>
      <w:r>
        <w:rPr>
          <w:rStyle w:val="captions"/>
        </w:rPr>
        <w:t xml:space="preserve"> in the extended conformation – Figure-3 in the paper</w:t>
      </w:r>
    </w:p>
    <w:p w:rsidR="00646FCC" w:rsidRDefault="00646FCC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487CE7" w:rsidRDefault="00487CE7" w:rsidP="003C4977">
      <w:pPr>
        <w:tabs>
          <w:tab w:val="left" w:pos="5287"/>
        </w:tabs>
        <w:rPr>
          <w:rStyle w:val="captions"/>
        </w:rPr>
      </w:pPr>
    </w:p>
    <w:p w:rsidR="00ED39B9" w:rsidRDefault="00ED39B9" w:rsidP="00ED39B9">
      <w:pPr>
        <w:pStyle w:val="Heading2"/>
      </w:pPr>
      <w:r>
        <w:lastRenderedPageBreak/>
        <w:t>Comparison-2: Alkanes</w:t>
      </w:r>
    </w:p>
    <w:p w:rsidR="001121AF" w:rsidRPr="001121AF" w:rsidRDefault="00172570" w:rsidP="001121AF">
      <w:r>
        <w:t xml:space="preserve">Paper- Extended scaled particle theory for dilute solutions of arbitrary shaped solutes. An application to solvation free energies of hydrocarbons, </w:t>
      </w:r>
      <w:r w:rsidR="001121AF">
        <w:t>Masayuki Irisa,</w:t>
      </w:r>
      <w:r>
        <w:t xml:space="preserve"> Kuniaki Nagayama, Fumio Hirata</w:t>
      </w:r>
      <w:r w:rsidR="001121AF">
        <w:t xml:space="preserve">, Chemical Physics Letters, Volume 207, Issues 4–6, 1993, Pages 430-435, ISSN 0009-2614, </w:t>
      </w:r>
      <w:hyperlink r:id="rId16" w:history="1">
        <w:r w:rsidR="001121AF" w:rsidRPr="00A326E1">
          <w:rPr>
            <w:rStyle w:val="Hyperlink"/>
          </w:rPr>
          <w:t>https://doi.org/10.101</w:t>
        </w:r>
        <w:bookmarkStart w:id="0" w:name="_GoBack"/>
        <w:bookmarkEnd w:id="0"/>
        <w:r w:rsidR="001121AF" w:rsidRPr="00A326E1">
          <w:rPr>
            <w:rStyle w:val="Hyperlink"/>
          </w:rPr>
          <w:t>6</w:t>
        </w:r>
        <w:r w:rsidR="001121AF" w:rsidRPr="00A326E1">
          <w:rPr>
            <w:rStyle w:val="Hyperlink"/>
          </w:rPr>
          <w:t>/0009-2614(93)89025-D</w:t>
        </w:r>
      </w:hyperlink>
      <w:r w:rsidR="001121AF">
        <w:t>.</w:t>
      </w:r>
    </w:p>
    <w:p w:rsidR="00ED39B9" w:rsidRPr="00ED39B9" w:rsidRDefault="00ED39B9" w:rsidP="00ED39B9">
      <w:r>
        <w:t>Polymer used: n-alkane</w:t>
      </w:r>
    </w:p>
    <w:p w:rsidR="00ED39B9" w:rsidRDefault="00ED39B9" w:rsidP="00ED39B9">
      <w:r>
        <w:t>Unit molecular weight (CH</w:t>
      </w:r>
      <w:r>
        <w:rPr>
          <w:vertAlign w:val="subscript"/>
        </w:rPr>
        <w:t>2</w:t>
      </w:r>
      <w:r>
        <w:t xml:space="preserve"> unit)   = 14 g/mol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2054"/>
      </w:tblGrid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delta G / unit (kJ/mol)</w:t>
            </w:r>
          </w:p>
        </w:tc>
      </w:tr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PAA - uncharged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-487.6135595</w:t>
            </w:r>
          </w:p>
        </w:tc>
      </w:tr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PAA - 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-2962.681829</w:t>
            </w:r>
          </w:p>
        </w:tc>
      </w:tr>
      <w:tr w:rsidR="00ED39B9" w:rsidRPr="00ED39B9" w:rsidTr="00ED39B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b/>
                <w:bCs/>
                <w:lang w:eastAsia="en-GB" w:bidi="ta-IN"/>
              </w:rPr>
              <w:t>CH2 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D39B9" w:rsidRPr="00ED39B9" w:rsidRDefault="00ED39B9" w:rsidP="00ED3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ED39B9">
              <w:rPr>
                <w:rFonts w:ascii="Calibri" w:eastAsia="Times New Roman" w:hAnsi="Calibri" w:cs="Calibri"/>
                <w:lang w:eastAsia="en-GB" w:bidi="ta-IN"/>
              </w:rPr>
              <w:t>2.092</w:t>
            </w:r>
          </w:p>
        </w:tc>
      </w:tr>
    </w:tbl>
    <w:p w:rsidR="00ED39B9" w:rsidRDefault="00ED39B9" w:rsidP="00ED39B9"/>
    <w:p w:rsidR="00ED39B9" w:rsidRDefault="00ED39B9" w:rsidP="00ED39B9">
      <w:r w:rsidRPr="00ED39B9">
        <w:rPr>
          <w:noProof/>
          <w:lang w:eastAsia="en-GB" w:bidi="ta-IN"/>
        </w:rPr>
        <w:drawing>
          <wp:inline distT="0" distB="0" distL="0" distR="0" wp14:anchorId="4D8F30B1" wp14:editId="785544FB">
            <wp:extent cx="299608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60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487CE7" w:rsidRDefault="00487CE7" w:rsidP="00ED39B9"/>
    <w:p w:rsidR="007D7FEC" w:rsidRDefault="007D7FEC" w:rsidP="007D7FEC">
      <w:pPr>
        <w:pStyle w:val="Heading2"/>
      </w:pPr>
      <w:r>
        <w:lastRenderedPageBreak/>
        <w:t>Comparison-3: Peptides</w:t>
      </w:r>
    </w:p>
    <w:p w:rsidR="007D7FEC" w:rsidRDefault="007D7FEC" w:rsidP="007D7FEC">
      <w:r>
        <w:t xml:space="preserve">Paper - Solvation Free Energies of Peptides:  Comparison of Approximate Continuum Solvation Models with Accurate Solution of the Poisson−Boltzmann Equation. Shlomit R. Edinger, Christian Cortis, Peter S. Shenkin, and Richard A. Friesner, J. Phys. Chem. B 1997, 101, 7, 1190–1197, </w:t>
      </w:r>
      <w:hyperlink r:id="rId18" w:history="1">
        <w:r w:rsidRPr="00A326E1">
          <w:rPr>
            <w:rStyle w:val="Hyperlink"/>
          </w:rPr>
          <w:t>https://doi.org/10.1021/jp962156k</w:t>
        </w:r>
      </w:hyperlink>
    </w:p>
    <w:p w:rsidR="008B352B" w:rsidRDefault="007D7FEC" w:rsidP="007D7FEC">
      <w:r>
        <w:t>(They didn’t show linear variation but they computed solvation energies of peptides of various lengths</w:t>
      </w:r>
      <w:r w:rsidR="00E41A9E">
        <w:t xml:space="preserve"> and multiple conformations</w:t>
      </w:r>
      <w:r>
        <w:t xml:space="preserve"> using Poisson Boltzmann and other methods like Generalized Born and compared the resulting values.</w:t>
      </w:r>
      <w:r w:rsidR="008B352B">
        <w:t>)</w:t>
      </w:r>
    </w:p>
    <w:p w:rsidR="00E41A9E" w:rsidRDefault="00E41A9E" w:rsidP="007D7FEC">
      <w:r>
        <w:t>I am comparing the solvation energy they had got for the largest peptide</w:t>
      </w:r>
      <w:r w:rsidR="000F1D48">
        <w:t xml:space="preserve"> (9 units)</w:t>
      </w:r>
      <w:r>
        <w:t xml:space="preserve"> with the sequence of amino acids “ala-asn-tyr-val-trp-ile-gly-val-leu”.</w:t>
      </w:r>
    </w:p>
    <w:p w:rsidR="00E41A9E" w:rsidRDefault="00E41A9E" w:rsidP="007D7FEC">
      <w:pPr>
        <w:rPr>
          <w:rFonts w:ascii="Calibri" w:hAnsi="Calibri" w:cs="Calibri"/>
        </w:rPr>
      </w:pPr>
      <w:r>
        <w:t xml:space="preserve">Molecular weight of the compound = </w:t>
      </w:r>
      <w:r>
        <w:rPr>
          <w:rFonts w:ascii="Calibri" w:hAnsi="Calibri" w:cs="Calibri"/>
        </w:rPr>
        <w:t>1045</w:t>
      </w:r>
      <w:r w:rsidR="000F1D48">
        <w:rPr>
          <w:rFonts w:ascii="Calibri" w:hAnsi="Calibri" w:cs="Calibri"/>
        </w:rPr>
        <w:t xml:space="preserve"> g/mol</w:t>
      </w:r>
    </w:p>
    <w:p w:rsidR="000F1D48" w:rsidRDefault="000F1D48" w:rsidP="007D7F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Average per unit </w:t>
      </w:r>
      <w:r w:rsidR="000E6A42">
        <w:rPr>
          <w:rFonts w:ascii="Calibri" w:hAnsi="Calibri" w:cs="Calibri"/>
        </w:rPr>
        <w:t>weight = 116.1 g/mol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2054"/>
      </w:tblGrid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delta G / unit (kJ/mol)</w:t>
            </w:r>
          </w:p>
        </w:tc>
      </w:tr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PAA - uncharged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-487.6135595</w:t>
            </w:r>
          </w:p>
        </w:tc>
      </w:tr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PAA - 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-2962.681829</w:t>
            </w:r>
          </w:p>
        </w:tc>
      </w:tr>
      <w:tr w:rsidR="00A54D0D" w:rsidRPr="00A54D0D" w:rsidTr="00A54D0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b/>
                <w:bCs/>
                <w:lang w:eastAsia="en-GB" w:bidi="ta-IN"/>
              </w:rPr>
              <w:t>nonapeptide (avg/unit)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4D0D" w:rsidRPr="00A54D0D" w:rsidRDefault="00A54D0D" w:rsidP="00A54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A54D0D">
              <w:rPr>
                <w:rFonts w:ascii="Calibri" w:eastAsia="Times New Roman" w:hAnsi="Calibri" w:cs="Calibri"/>
                <w:lang w:eastAsia="en-GB" w:bidi="ta-IN"/>
              </w:rPr>
              <w:t>-117.7777778</w:t>
            </w:r>
          </w:p>
        </w:tc>
      </w:tr>
    </w:tbl>
    <w:p w:rsidR="000E6A42" w:rsidRDefault="00BB438C" w:rsidP="007D7FEC">
      <w:r>
        <w:t>(value obtained from figure-6 in their paper)</w:t>
      </w:r>
    </w:p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487CE7" w:rsidRDefault="00487CE7" w:rsidP="007D7FEC"/>
    <w:p w:rsidR="008817D3" w:rsidRDefault="008817D3" w:rsidP="008817D3">
      <w:pPr>
        <w:pStyle w:val="Heading2"/>
      </w:pPr>
      <w:r>
        <w:lastRenderedPageBreak/>
        <w:t>Comparison-4: Alkanes</w:t>
      </w:r>
    </w:p>
    <w:p w:rsidR="008817D3" w:rsidRDefault="008817D3" w:rsidP="008817D3">
      <w:r>
        <w:t>Paper - Extracting Hydrophobic Free Energies from Experimental Data: Relationship to Protein Folding and Theoretical Model</w:t>
      </w:r>
    </w:p>
    <w:p w:rsidR="00C87FEA" w:rsidRPr="00C87FEA" w:rsidRDefault="008817D3" w:rsidP="008817D3">
      <w:pPr>
        <w:rPr>
          <w:color w:val="0000FF"/>
          <w:u w:val="single"/>
        </w:rPr>
      </w:pPr>
      <w:r>
        <w:t xml:space="preserve">Kim A. Sharp, Anthony Nicholls, Richard Friedman, and Barry Honig, Biochemistry 1991 30 (40), 9686-9697, </w:t>
      </w:r>
      <w:hyperlink r:id="rId19" w:history="1">
        <w:r w:rsidRPr="00A326E1">
          <w:rPr>
            <w:rStyle w:val="Hyperlink"/>
          </w:rPr>
          <w:t>https://doi.org/10.1021/bi00104a017</w:t>
        </w:r>
      </w:hyperlink>
    </w:p>
    <w:p w:rsidR="00C87FEA" w:rsidRDefault="00C87FEA" w:rsidP="008817D3">
      <w:r>
        <w:t>They have shown linear relationship of solvation energy vs solvent accessible surface area</w:t>
      </w:r>
      <w:r w:rsidR="009E354D">
        <w:t>.</w:t>
      </w:r>
    </w:p>
    <w:p w:rsidR="008817D3" w:rsidRDefault="00542330" w:rsidP="008817D3">
      <w:r>
        <w:t>Polymer used – alkane</w:t>
      </w:r>
    </w:p>
    <w:p w:rsidR="00542330" w:rsidRDefault="00542330" w:rsidP="008817D3">
      <w:r>
        <w:t>Unit molecular weight (CH</w:t>
      </w:r>
      <w:r>
        <w:rPr>
          <w:vertAlign w:val="subscript"/>
        </w:rPr>
        <w:t>2</w:t>
      </w:r>
      <w:r>
        <w:t xml:space="preserve"> unit)   = 14 g/mol</w:t>
      </w:r>
    </w:p>
    <w:tbl>
      <w:tblPr>
        <w:tblW w:w="41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2054"/>
      </w:tblGrid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delta G / unit (kJ/mol)</w:t>
            </w:r>
          </w:p>
        </w:tc>
      </w:tr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PAA - uncharged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-487.6135595</w:t>
            </w:r>
          </w:p>
        </w:tc>
      </w:tr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PAA - charged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-2962.681829</w:t>
            </w:r>
          </w:p>
        </w:tc>
      </w:tr>
      <w:tr w:rsidR="008817D3" w:rsidRPr="008817D3" w:rsidTr="008817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b/>
                <w:bCs/>
                <w:lang w:eastAsia="en-GB" w:bidi="ta-IN"/>
              </w:rPr>
              <w:t>CH2 unit (for 10 units)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817D3" w:rsidRPr="008817D3" w:rsidRDefault="008817D3" w:rsidP="00881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 w:bidi="ta-IN"/>
              </w:rPr>
            </w:pPr>
            <w:r w:rsidRPr="008817D3">
              <w:rPr>
                <w:rFonts w:ascii="Calibri" w:eastAsia="Times New Roman" w:hAnsi="Calibri" w:cs="Calibri"/>
                <w:lang w:eastAsia="en-GB" w:bidi="ta-IN"/>
              </w:rPr>
              <w:t>-1.35</w:t>
            </w:r>
          </w:p>
        </w:tc>
      </w:tr>
    </w:tbl>
    <w:p w:rsidR="008817D3" w:rsidRDefault="008817D3" w:rsidP="008817D3"/>
    <w:p w:rsidR="008817D3" w:rsidRDefault="008817D3" w:rsidP="008817D3">
      <w:r>
        <w:t>Values extracted from this table:</w:t>
      </w:r>
    </w:p>
    <w:p w:rsidR="008817D3" w:rsidRPr="008817D3" w:rsidRDefault="008817D3" w:rsidP="008817D3">
      <w:r w:rsidRPr="008817D3">
        <w:rPr>
          <w:noProof/>
          <w:lang w:eastAsia="en-GB" w:bidi="ta-IN"/>
        </w:rPr>
        <w:drawing>
          <wp:inline distT="0" distB="0" distL="0" distR="0" wp14:anchorId="16DD832C" wp14:editId="7D84D23E">
            <wp:extent cx="5731510" cy="25330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D3" w:rsidRDefault="008817D3" w:rsidP="007D7FEC"/>
    <w:p w:rsidR="007D7FEC" w:rsidRPr="007D7FEC" w:rsidRDefault="007D7FEC" w:rsidP="007D7FEC"/>
    <w:p w:rsidR="007D7FEC" w:rsidRPr="00ED39B9" w:rsidRDefault="007D7FEC" w:rsidP="00ED39B9"/>
    <w:sectPr w:rsidR="007D7FEC" w:rsidRPr="00ED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34" w:rsidRDefault="00ED2034" w:rsidP="00710A98">
      <w:pPr>
        <w:spacing w:after="0" w:line="240" w:lineRule="auto"/>
      </w:pPr>
      <w:r>
        <w:separator/>
      </w:r>
    </w:p>
  </w:endnote>
  <w:endnote w:type="continuationSeparator" w:id="0">
    <w:p w:rsidR="00ED2034" w:rsidRDefault="00ED2034" w:rsidP="0071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34" w:rsidRDefault="00ED2034" w:rsidP="00710A98">
      <w:pPr>
        <w:spacing w:after="0" w:line="240" w:lineRule="auto"/>
      </w:pPr>
      <w:r>
        <w:separator/>
      </w:r>
    </w:p>
  </w:footnote>
  <w:footnote w:type="continuationSeparator" w:id="0">
    <w:p w:rsidR="00ED2034" w:rsidRDefault="00ED2034" w:rsidP="00710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34"/>
    <w:rsid w:val="000D7560"/>
    <w:rsid w:val="000E6A42"/>
    <w:rsid w:val="000F1D48"/>
    <w:rsid w:val="001121AF"/>
    <w:rsid w:val="00172570"/>
    <w:rsid w:val="001D4C34"/>
    <w:rsid w:val="001E46BF"/>
    <w:rsid w:val="00233107"/>
    <w:rsid w:val="0026676D"/>
    <w:rsid w:val="00345C6A"/>
    <w:rsid w:val="003959AC"/>
    <w:rsid w:val="003C4977"/>
    <w:rsid w:val="00487CE7"/>
    <w:rsid w:val="005410F5"/>
    <w:rsid w:val="00542330"/>
    <w:rsid w:val="005E55CB"/>
    <w:rsid w:val="00646FCC"/>
    <w:rsid w:val="006F7CD8"/>
    <w:rsid w:val="00710A98"/>
    <w:rsid w:val="00734A28"/>
    <w:rsid w:val="00771DD5"/>
    <w:rsid w:val="007D7FEC"/>
    <w:rsid w:val="00815278"/>
    <w:rsid w:val="0083026E"/>
    <w:rsid w:val="00865FFA"/>
    <w:rsid w:val="008817D3"/>
    <w:rsid w:val="008B352B"/>
    <w:rsid w:val="009B3028"/>
    <w:rsid w:val="009C5535"/>
    <w:rsid w:val="009E1113"/>
    <w:rsid w:val="009E354D"/>
    <w:rsid w:val="00A21B7B"/>
    <w:rsid w:val="00A54D0D"/>
    <w:rsid w:val="00AB65CA"/>
    <w:rsid w:val="00AC29A0"/>
    <w:rsid w:val="00AC7703"/>
    <w:rsid w:val="00AD4716"/>
    <w:rsid w:val="00AE464C"/>
    <w:rsid w:val="00B15F36"/>
    <w:rsid w:val="00B50908"/>
    <w:rsid w:val="00BB438C"/>
    <w:rsid w:val="00C000AC"/>
    <w:rsid w:val="00C35144"/>
    <w:rsid w:val="00C364EC"/>
    <w:rsid w:val="00C6094A"/>
    <w:rsid w:val="00C87FEA"/>
    <w:rsid w:val="00CB515D"/>
    <w:rsid w:val="00CC2F08"/>
    <w:rsid w:val="00CD71EA"/>
    <w:rsid w:val="00D132E4"/>
    <w:rsid w:val="00D2328F"/>
    <w:rsid w:val="00D66A6E"/>
    <w:rsid w:val="00E41A9E"/>
    <w:rsid w:val="00ED2034"/>
    <w:rsid w:val="00ED39B9"/>
    <w:rsid w:val="00F10DAB"/>
    <w:rsid w:val="00F13ACF"/>
    <w:rsid w:val="00F14964"/>
    <w:rsid w:val="00F547FB"/>
    <w:rsid w:val="00FD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A1EE4-AB5F-484B-9050-99353314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98"/>
  </w:style>
  <w:style w:type="paragraph" w:styleId="Footer">
    <w:name w:val="footer"/>
    <w:basedOn w:val="Normal"/>
    <w:link w:val="FooterChar"/>
    <w:uiPriority w:val="99"/>
    <w:unhideWhenUsed/>
    <w:rsid w:val="0071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98"/>
  </w:style>
  <w:style w:type="character" w:customStyle="1" w:styleId="Heading1Char">
    <w:name w:val="Heading 1 Char"/>
    <w:basedOn w:val="DefaultParagraphFont"/>
    <w:link w:val="Heading1"/>
    <w:uiPriority w:val="9"/>
    <w:rsid w:val="009B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5278"/>
    <w:rPr>
      <w:color w:val="0000FF"/>
      <w:u w:val="single"/>
    </w:rPr>
  </w:style>
  <w:style w:type="character" w:customStyle="1" w:styleId="title-text">
    <w:name w:val="title-text"/>
    <w:basedOn w:val="DefaultParagraphFont"/>
    <w:rsid w:val="00815278"/>
  </w:style>
  <w:style w:type="character" w:customStyle="1" w:styleId="captions">
    <w:name w:val="captions"/>
    <w:basedOn w:val="DefaultParagraphFont"/>
    <w:rsid w:val="003C4977"/>
  </w:style>
  <w:style w:type="character" w:styleId="Emphasis">
    <w:name w:val="Emphasis"/>
    <w:basedOn w:val="DefaultParagraphFont"/>
    <w:uiPriority w:val="20"/>
    <w:qFormat/>
    <w:rsid w:val="003C49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3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016/j.bpj.2013.08.011" TargetMode="External"/><Relationship Id="rId18" Type="http://schemas.openxmlformats.org/officeDocument/2006/relationships/hyperlink" Target="https://doi.org/10.1021/jp962156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doi.org/10.1016/0009-2614(93)89025-D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ciencedirect.com/topics/biochemistry-genetics-and-molecular-biology/solva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i.org/10.1021/bi00104a0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00A1-7F9A-4DA4-9D07-ACB55BBC5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57</cp:revision>
  <dcterms:created xsi:type="dcterms:W3CDTF">2022-05-22T06:38:00Z</dcterms:created>
  <dcterms:modified xsi:type="dcterms:W3CDTF">2022-06-03T04:46:00Z</dcterms:modified>
</cp:coreProperties>
</file>