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A60" w:rsidRDefault="003D31A8" w:rsidP="00FD2A60">
      <w:pPr>
        <w:pStyle w:val="Heading1"/>
        <w:jc w:val="center"/>
      </w:pPr>
      <w:r>
        <w:t>ASSIGNMENT-4</w:t>
      </w:r>
      <w:r w:rsidR="00FD2A60">
        <w:t xml:space="preserve"> PROCESS ENGINEERING</w:t>
      </w:r>
    </w:p>
    <w:p w:rsidR="00F14156" w:rsidRPr="00F14156" w:rsidRDefault="00F14156" w:rsidP="00F14156">
      <w:r>
        <w:t xml:space="preserve">Since 99.8% conversion will need more hydrogen than given in the feed as per given specifications, I raised hydrogen stream flow rate to 340 </w:t>
      </w:r>
      <w:proofErr w:type="spellStart"/>
      <w:r>
        <w:t>lbmol</w:t>
      </w:r>
      <w:proofErr w:type="spellEnd"/>
      <w:r>
        <w:t>/</w:t>
      </w:r>
      <w:proofErr w:type="spellStart"/>
      <w:r>
        <w:t>hr</w:t>
      </w:r>
      <w:proofErr w:type="spellEnd"/>
      <w:r>
        <w:t>, so that more than sufficient hydrogen is available at the reactor</w:t>
      </w:r>
      <w:r w:rsidR="00301718">
        <w:t>.</w:t>
      </w:r>
    </w:p>
    <w:p w:rsidR="00FD2A60" w:rsidRDefault="00FD2A60" w:rsidP="00FD2A60">
      <w:pPr>
        <w:pStyle w:val="Heading2"/>
      </w:pPr>
      <w:r>
        <w:t>1. Capital Cost</w:t>
      </w:r>
    </w:p>
    <w:p w:rsidR="00FD2A60" w:rsidRPr="00FD2A60" w:rsidRDefault="00FD2A60" w:rsidP="00FD2A60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255"/>
        <w:gridCol w:w="5040"/>
        <w:gridCol w:w="900"/>
        <w:gridCol w:w="1080"/>
        <w:gridCol w:w="1080"/>
      </w:tblGrid>
      <w:tr w:rsidR="00A51C1E" w:rsidTr="001A128D">
        <w:tc>
          <w:tcPr>
            <w:tcW w:w="1255" w:type="dxa"/>
          </w:tcPr>
          <w:p w:rsidR="002E1E4E" w:rsidRPr="002C287B" w:rsidRDefault="002E1E4E">
            <w:pPr>
              <w:rPr>
                <w:b/>
                <w:bCs/>
              </w:rPr>
            </w:pPr>
            <w:r>
              <w:rPr>
                <w:b/>
                <w:bCs/>
              </w:rPr>
              <w:t>Equipment</w:t>
            </w:r>
          </w:p>
        </w:tc>
        <w:tc>
          <w:tcPr>
            <w:tcW w:w="5040" w:type="dxa"/>
          </w:tcPr>
          <w:p w:rsidR="002E1E4E" w:rsidRPr="002C287B" w:rsidRDefault="002E1E4E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900" w:type="dxa"/>
          </w:tcPr>
          <w:p w:rsidR="002E1E4E" w:rsidRPr="00A07D5F" w:rsidRDefault="00A07D5F">
            <w:pPr>
              <w:rPr>
                <w:b/>
                <w:bCs/>
              </w:rPr>
            </w:pPr>
            <w:r>
              <w:rPr>
                <w:b/>
                <w:bCs/>
              </w:rPr>
              <w:t>Equipment cost ($)</w:t>
            </w:r>
          </w:p>
        </w:tc>
        <w:tc>
          <w:tcPr>
            <w:tcW w:w="1080" w:type="dxa"/>
          </w:tcPr>
          <w:p w:rsidR="002E1E4E" w:rsidRDefault="00A07D5F">
            <w:pPr>
              <w:rPr>
                <w:b/>
                <w:bCs/>
              </w:rPr>
            </w:pPr>
            <w:r>
              <w:rPr>
                <w:b/>
                <w:bCs/>
              </w:rPr>
              <w:t>Installed cost ($)</w:t>
            </w:r>
          </w:p>
        </w:tc>
        <w:tc>
          <w:tcPr>
            <w:tcW w:w="1080" w:type="dxa"/>
          </w:tcPr>
          <w:p w:rsidR="002E1E4E" w:rsidRPr="002C287B" w:rsidRDefault="001A12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Total Capital </w:t>
            </w:r>
            <w:r w:rsidR="002E1E4E">
              <w:rPr>
                <w:b/>
                <w:bCs/>
              </w:rPr>
              <w:t>Cost ($)</w:t>
            </w:r>
          </w:p>
        </w:tc>
      </w:tr>
      <w:tr w:rsidR="00A51C1E" w:rsidTr="001A128D">
        <w:tc>
          <w:tcPr>
            <w:tcW w:w="1255" w:type="dxa"/>
          </w:tcPr>
          <w:p w:rsidR="003A493D" w:rsidRDefault="003A493D" w:rsidP="003A493D">
            <w:r>
              <w:t>Heaters</w:t>
            </w:r>
            <w:r w:rsidR="00A30DFD">
              <w:t xml:space="preserve"> (x4)</w:t>
            </w:r>
          </w:p>
        </w:tc>
        <w:tc>
          <w:tcPr>
            <w:tcW w:w="5040" w:type="dxa"/>
          </w:tcPr>
          <w:p w:rsidR="003A493D" w:rsidRDefault="00631143" w:rsidP="00FB5E7F">
            <w:r w:rsidRPr="00631143">
              <w:t>Tube outsid</w:t>
            </w:r>
            <w:r w:rsidR="005E52CB">
              <w:t>e diameter [meter]</w:t>
            </w:r>
            <w:r w:rsidR="005E52CB">
              <w:tab/>
              <w:t>0.0254</w:t>
            </w:r>
            <w:r w:rsidR="00A035D2">
              <w:t xml:space="preserve"> (for all)</w:t>
            </w:r>
          </w:p>
          <w:p w:rsidR="00631143" w:rsidRDefault="00631143" w:rsidP="00FB5E7F">
            <w:r w:rsidRPr="00631143">
              <w:t>Tube len</w:t>
            </w:r>
            <w:r w:rsidR="00D04D15">
              <w:t>gth extended [meter]</w:t>
            </w:r>
            <w:r w:rsidR="00D04D15">
              <w:tab/>
              <w:t>6.096</w:t>
            </w:r>
            <w:r w:rsidR="00A035D2">
              <w:t xml:space="preserve"> (for all)</w:t>
            </w:r>
          </w:p>
          <w:p w:rsidR="00631143" w:rsidRDefault="00631143" w:rsidP="00FB5E7F">
            <w:r w:rsidRPr="00631143">
              <w:t>Tube pitch [meter]</w:t>
            </w:r>
            <w:r w:rsidRPr="00631143">
              <w:tab/>
              <w:t>0.03175</w:t>
            </w:r>
            <w:r>
              <w:t xml:space="preserve"> </w:t>
            </w:r>
            <w:r w:rsidR="00C76168">
              <w:t>(for all)</w:t>
            </w:r>
          </w:p>
          <w:p w:rsidR="00631143" w:rsidRDefault="00631143" w:rsidP="00E438FD">
            <w:r>
              <w:t>Heat transfer area [</w:t>
            </w:r>
            <w:proofErr w:type="spellStart"/>
            <w:r>
              <w:t>sqm</w:t>
            </w:r>
            <w:proofErr w:type="spellEnd"/>
            <w:r>
              <w:t>]</w:t>
            </w:r>
            <w:r w:rsidR="005E52CB">
              <w:t xml:space="preserve"> </w:t>
            </w:r>
            <w:r w:rsidR="005E52CB" w:rsidRPr="005E52CB">
              <w:t>5.7896190206766</w:t>
            </w:r>
            <w:r w:rsidR="005E52CB">
              <w:t xml:space="preserve"> </w:t>
            </w:r>
            <w:r w:rsidR="00E438FD">
              <w:t xml:space="preserve">9.18395 </w:t>
            </w:r>
            <w:r w:rsidR="005E52CB" w:rsidRPr="005E52CB">
              <w:t>6.600</w:t>
            </w:r>
            <w:r w:rsidR="00E438FD">
              <w:t>1</w:t>
            </w:r>
            <w:r w:rsidR="005E52CB" w:rsidRPr="005E52CB">
              <w:tab/>
              <w:t>3.1488</w:t>
            </w:r>
          </w:p>
        </w:tc>
        <w:tc>
          <w:tcPr>
            <w:tcW w:w="900" w:type="dxa"/>
            <w:vAlign w:val="bottom"/>
          </w:tcPr>
          <w:p w:rsidR="003A493D" w:rsidRDefault="00F70EB8" w:rsidP="00A51C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44600</w:t>
            </w:r>
          </w:p>
        </w:tc>
        <w:tc>
          <w:tcPr>
            <w:tcW w:w="1080" w:type="dxa"/>
            <w:vAlign w:val="bottom"/>
          </w:tcPr>
          <w:p w:rsidR="003A493D" w:rsidRDefault="00F70EB8" w:rsidP="00A51C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294700</w:t>
            </w:r>
          </w:p>
        </w:tc>
        <w:tc>
          <w:tcPr>
            <w:tcW w:w="1080" w:type="dxa"/>
            <w:vAlign w:val="bottom"/>
          </w:tcPr>
          <w:p w:rsidR="003A493D" w:rsidRDefault="00F70EB8" w:rsidP="00A51C1E">
            <w:pPr>
              <w:jc w:val="right"/>
              <w:rPr>
                <w:rFonts w:ascii="Calibri" w:hAnsi="Calibri" w:cs="Calibri"/>
                <w:color w:val="000000"/>
              </w:rPr>
            </w:pPr>
            <w:r w:rsidRPr="00F70EB8">
              <w:rPr>
                <w:rFonts w:ascii="Calibri" w:hAnsi="Calibri" w:cs="Calibri"/>
                <w:color w:val="000000"/>
              </w:rPr>
              <w:t>339300</w:t>
            </w:r>
          </w:p>
        </w:tc>
      </w:tr>
      <w:tr w:rsidR="00A51C1E" w:rsidTr="001A128D">
        <w:tc>
          <w:tcPr>
            <w:tcW w:w="1255" w:type="dxa"/>
          </w:tcPr>
          <w:p w:rsidR="003A493D" w:rsidRDefault="003A493D" w:rsidP="003A493D">
            <w:r>
              <w:t>Reactor</w:t>
            </w:r>
          </w:p>
        </w:tc>
        <w:tc>
          <w:tcPr>
            <w:tcW w:w="5040" w:type="dxa"/>
          </w:tcPr>
          <w:p w:rsidR="00A51C1E" w:rsidRDefault="00A51C1E" w:rsidP="00683E63">
            <w:r>
              <w:t>Liquid volume [l]</w:t>
            </w:r>
            <w:r>
              <w:tab/>
              <w:t>1459.507849</w:t>
            </w:r>
          </w:p>
          <w:p w:rsidR="00A51C1E" w:rsidRDefault="00A51C1E" w:rsidP="00683E63">
            <w:r>
              <w:t>Vessel diameter [meter]</w:t>
            </w:r>
            <w:r>
              <w:tab/>
              <w:t>0.762</w:t>
            </w:r>
          </w:p>
          <w:p w:rsidR="003A493D" w:rsidRDefault="00A51C1E" w:rsidP="0031216A">
            <w:r>
              <w:t>Vessel tangent to tangent height [meter]</w:t>
            </w:r>
            <w:r w:rsidR="0031216A">
              <w:t xml:space="preserve"> </w:t>
            </w:r>
            <w:r>
              <w:t>3.2004</w:t>
            </w:r>
          </w:p>
        </w:tc>
        <w:tc>
          <w:tcPr>
            <w:tcW w:w="900" w:type="dxa"/>
            <w:vAlign w:val="bottom"/>
          </w:tcPr>
          <w:p w:rsidR="003A493D" w:rsidRDefault="003A493D" w:rsidP="00A51C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87500</w:t>
            </w:r>
          </w:p>
        </w:tc>
        <w:tc>
          <w:tcPr>
            <w:tcW w:w="1080" w:type="dxa"/>
            <w:vAlign w:val="bottom"/>
          </w:tcPr>
          <w:p w:rsidR="003A493D" w:rsidRDefault="003A493D" w:rsidP="00A51C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245400</w:t>
            </w:r>
          </w:p>
        </w:tc>
        <w:tc>
          <w:tcPr>
            <w:tcW w:w="1080" w:type="dxa"/>
            <w:vAlign w:val="bottom"/>
          </w:tcPr>
          <w:p w:rsidR="003A493D" w:rsidRDefault="003A493D" w:rsidP="00A51C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332900</w:t>
            </w:r>
          </w:p>
        </w:tc>
      </w:tr>
      <w:tr w:rsidR="00A51C1E" w:rsidTr="001A128D">
        <w:tc>
          <w:tcPr>
            <w:tcW w:w="1255" w:type="dxa"/>
          </w:tcPr>
          <w:p w:rsidR="003A493D" w:rsidRDefault="003A493D" w:rsidP="003A493D">
            <w:r>
              <w:t>Flash</w:t>
            </w:r>
          </w:p>
        </w:tc>
        <w:tc>
          <w:tcPr>
            <w:tcW w:w="5040" w:type="dxa"/>
          </w:tcPr>
          <w:p w:rsidR="00A51C1E" w:rsidRDefault="00A51C1E" w:rsidP="00A51C1E">
            <w:r>
              <w:t>Liquid volume [l]</w:t>
            </w:r>
            <w:r>
              <w:tab/>
              <w:t>3269.297609</w:t>
            </w:r>
          </w:p>
          <w:p w:rsidR="00A51C1E" w:rsidRDefault="00A51C1E" w:rsidP="00A51C1E">
            <w:r>
              <w:t>Vessel diameter [meter]</w:t>
            </w:r>
            <w:r>
              <w:tab/>
              <w:t>1.0668</w:t>
            </w:r>
          </w:p>
          <w:p w:rsidR="003A493D" w:rsidRDefault="00A51C1E" w:rsidP="00A51C1E">
            <w:r>
              <w:t>Vessel tangent to tangent height [meter] 3.6576</w:t>
            </w:r>
          </w:p>
        </w:tc>
        <w:tc>
          <w:tcPr>
            <w:tcW w:w="900" w:type="dxa"/>
            <w:vAlign w:val="bottom"/>
          </w:tcPr>
          <w:p w:rsidR="003A493D" w:rsidRDefault="003A493D" w:rsidP="00A51C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24800</w:t>
            </w:r>
          </w:p>
        </w:tc>
        <w:tc>
          <w:tcPr>
            <w:tcW w:w="1080" w:type="dxa"/>
            <w:vAlign w:val="bottom"/>
          </w:tcPr>
          <w:p w:rsidR="003A493D" w:rsidRDefault="003A493D" w:rsidP="00A51C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116800</w:t>
            </w:r>
          </w:p>
        </w:tc>
        <w:tc>
          <w:tcPr>
            <w:tcW w:w="1080" w:type="dxa"/>
            <w:vAlign w:val="bottom"/>
          </w:tcPr>
          <w:p w:rsidR="003A493D" w:rsidRDefault="003A493D" w:rsidP="00A51C1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141600</w:t>
            </w:r>
          </w:p>
        </w:tc>
      </w:tr>
      <w:tr w:rsidR="00A51C1E" w:rsidTr="001A128D">
        <w:tc>
          <w:tcPr>
            <w:tcW w:w="1255" w:type="dxa"/>
          </w:tcPr>
          <w:p w:rsidR="003A493D" w:rsidRDefault="003A493D" w:rsidP="003A493D">
            <w:r>
              <w:t>Distillation column</w:t>
            </w:r>
          </w:p>
        </w:tc>
        <w:tc>
          <w:tcPr>
            <w:tcW w:w="5040" w:type="dxa"/>
          </w:tcPr>
          <w:p w:rsidR="00A51C1E" w:rsidRDefault="00A51C1E" w:rsidP="00A51C1E">
            <w:r>
              <w:t>Diameter Bottom section [meter]</w:t>
            </w:r>
            <w:r>
              <w:tab/>
              <w:t>0.</w:t>
            </w:r>
            <w:r w:rsidR="00711DF1">
              <w:t>6096</w:t>
            </w:r>
          </w:p>
          <w:p w:rsidR="00A51C1E" w:rsidRDefault="00A51C1E" w:rsidP="00A51C1E">
            <w:r>
              <w:t>Bottom tangent to tangent height [meter]</w:t>
            </w:r>
            <w:r>
              <w:tab/>
              <w:t>15.24</w:t>
            </w:r>
          </w:p>
          <w:p w:rsidR="003A493D" w:rsidRDefault="00A51C1E" w:rsidP="00A51C1E">
            <w:r>
              <w:t>Number of trays Bottom section</w:t>
            </w:r>
            <w:r w:rsidR="00E25052">
              <w:t xml:space="preserve"> </w:t>
            </w:r>
            <w:r>
              <w:tab/>
              <w:t>19</w:t>
            </w:r>
          </w:p>
        </w:tc>
        <w:tc>
          <w:tcPr>
            <w:tcW w:w="900" w:type="dxa"/>
            <w:vAlign w:val="bottom"/>
          </w:tcPr>
          <w:p w:rsidR="003A493D" w:rsidRDefault="002F250E" w:rsidP="00A51C1E">
            <w:pPr>
              <w:jc w:val="right"/>
              <w:rPr>
                <w:rFonts w:ascii="Calibri" w:hAnsi="Calibri" w:cs="Calibri"/>
                <w:color w:val="000000"/>
              </w:rPr>
            </w:pPr>
            <w:r w:rsidRPr="002F250E">
              <w:rPr>
                <w:rFonts w:ascii="Calibri" w:hAnsi="Calibri" w:cs="Calibri"/>
                <w:color w:val="000000"/>
              </w:rPr>
              <w:t>123200</w:t>
            </w:r>
          </w:p>
        </w:tc>
        <w:tc>
          <w:tcPr>
            <w:tcW w:w="1080" w:type="dxa"/>
            <w:vAlign w:val="bottom"/>
          </w:tcPr>
          <w:p w:rsidR="003A493D" w:rsidRDefault="00143B2F" w:rsidP="00A51C1E">
            <w:pPr>
              <w:jc w:val="right"/>
              <w:rPr>
                <w:rFonts w:ascii="Calibri" w:hAnsi="Calibri" w:cs="Calibri"/>
                <w:color w:val="000000"/>
              </w:rPr>
            </w:pPr>
            <w:r w:rsidRPr="00143B2F">
              <w:rPr>
                <w:rFonts w:ascii="Calibri" w:hAnsi="Calibri" w:cs="Calibri"/>
                <w:color w:val="000000"/>
              </w:rPr>
              <w:t>518000</w:t>
            </w:r>
          </w:p>
        </w:tc>
        <w:tc>
          <w:tcPr>
            <w:tcW w:w="1080" w:type="dxa"/>
            <w:vAlign w:val="bottom"/>
          </w:tcPr>
          <w:p w:rsidR="003A493D" w:rsidRDefault="00A6114B" w:rsidP="00A51C1E">
            <w:pPr>
              <w:jc w:val="right"/>
              <w:rPr>
                <w:rFonts w:ascii="Calibri" w:hAnsi="Calibri" w:cs="Calibri"/>
                <w:color w:val="000000"/>
              </w:rPr>
            </w:pPr>
            <w:r w:rsidRPr="00A6114B">
              <w:rPr>
                <w:rFonts w:ascii="Calibri" w:hAnsi="Calibri" w:cs="Calibri"/>
                <w:color w:val="000000"/>
              </w:rPr>
              <w:t>641200</w:t>
            </w:r>
          </w:p>
        </w:tc>
      </w:tr>
      <w:tr w:rsidR="00A07D5F" w:rsidTr="001A128D">
        <w:tc>
          <w:tcPr>
            <w:tcW w:w="6295" w:type="dxa"/>
            <w:gridSpan w:val="2"/>
          </w:tcPr>
          <w:p w:rsidR="00A07D5F" w:rsidRPr="002C287B" w:rsidRDefault="00A07D5F">
            <w:pPr>
              <w:rPr>
                <w:b/>
                <w:bCs/>
              </w:rPr>
            </w:pPr>
            <w:r w:rsidRPr="002C287B">
              <w:rPr>
                <w:b/>
                <w:bCs/>
              </w:rPr>
              <w:t>Total</w:t>
            </w:r>
            <w:r w:rsidR="00A6114B">
              <w:rPr>
                <w:b/>
                <w:bCs/>
              </w:rPr>
              <w:t xml:space="preserve"> Cost</w:t>
            </w:r>
          </w:p>
        </w:tc>
        <w:tc>
          <w:tcPr>
            <w:tcW w:w="3060" w:type="dxa"/>
            <w:gridSpan w:val="3"/>
          </w:tcPr>
          <w:p w:rsidR="00A6114B" w:rsidRDefault="00284A7C" w:rsidP="00A6114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$ </w:t>
            </w:r>
            <w:r w:rsidR="0022019B">
              <w:rPr>
                <w:rFonts w:ascii="Calibri" w:hAnsi="Calibri" w:cs="Calibri"/>
                <w:color w:val="000000"/>
              </w:rPr>
              <w:t>3833610</w:t>
            </w:r>
          </w:p>
          <w:p w:rsidR="00FB5E7F" w:rsidRDefault="00FB5E7F" w:rsidP="00FB5E7F">
            <w:pPr>
              <w:rPr>
                <w:rFonts w:ascii="Calibri" w:hAnsi="Calibri" w:cs="Calibri"/>
                <w:color w:val="000000"/>
              </w:rPr>
            </w:pPr>
          </w:p>
          <w:p w:rsidR="00A07D5F" w:rsidRDefault="00A07D5F"/>
        </w:tc>
      </w:tr>
    </w:tbl>
    <w:p w:rsidR="009C5535" w:rsidRDefault="009C5535"/>
    <w:p w:rsidR="00FD2A60" w:rsidRDefault="00FD2A60" w:rsidP="00FD2A60">
      <w:pPr>
        <w:pStyle w:val="Heading2"/>
      </w:pPr>
      <w:r>
        <w:t>2. Operating Costs</w:t>
      </w:r>
    </w:p>
    <w:p w:rsidR="00FD2A60" w:rsidRDefault="00FD2A60" w:rsidP="00FD2A60">
      <w:r>
        <w:t>a = 0, b = 2, c = 0.</w:t>
      </w:r>
    </w:p>
    <w:p w:rsidR="00FD2A60" w:rsidRDefault="00FD2A60" w:rsidP="00FD2A60">
      <w:r>
        <w:t>Heating cost = $ (30 + 0 + 2 + 0) = $ 32</w:t>
      </w:r>
      <w:r w:rsidR="000D6FFE">
        <w:t xml:space="preserve"> /KBTU</w:t>
      </w:r>
    </w:p>
    <w:p w:rsidR="00074302" w:rsidRDefault="00B725E9" w:rsidP="00074302">
      <w:r>
        <w:t>Cooling cost = $ (19 -</w:t>
      </w:r>
      <w:bookmarkStart w:id="0" w:name="_GoBack"/>
      <w:bookmarkEnd w:id="0"/>
      <w:r w:rsidR="002410FC">
        <w:t xml:space="preserve"> 0 + 2 -</w:t>
      </w:r>
      <w:r w:rsidR="00FD2A60">
        <w:t xml:space="preserve"> 0) = $ 21</w:t>
      </w:r>
      <w:r w:rsidR="000D6FFE">
        <w:t xml:space="preserve"> /KBTU</w:t>
      </w:r>
    </w:p>
    <w:p w:rsidR="00673FF0" w:rsidRPr="00074302" w:rsidRDefault="00673FF0" w:rsidP="00074302">
      <w:r>
        <w:t xml:space="preserve">Used 1 </w:t>
      </w:r>
      <w:proofErr w:type="spellStart"/>
      <w:r>
        <w:t>cal</w:t>
      </w:r>
      <w:proofErr w:type="spellEnd"/>
      <w:r>
        <w:t xml:space="preserve">/sec = </w:t>
      </w:r>
      <w:r w:rsidRPr="00673FF0">
        <w:t>125061.27</w:t>
      </w:r>
      <w:r>
        <w:t xml:space="preserve"> BTU/year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45"/>
        <w:gridCol w:w="2845"/>
        <w:gridCol w:w="2846"/>
      </w:tblGrid>
      <w:tr w:rsidR="00074302" w:rsidRPr="00074302" w:rsidTr="00074302">
        <w:trPr>
          <w:trHeight w:val="110"/>
        </w:trPr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302" w:rsidRPr="00074302" w:rsidRDefault="00074302" w:rsidP="007D1F86">
            <w:r w:rsidRPr="00074302">
              <w:t xml:space="preserve"> </w:t>
            </w:r>
            <w:r w:rsidRPr="00074302">
              <w:rPr>
                <w:b/>
                <w:bCs/>
              </w:rPr>
              <w:t xml:space="preserve">Item 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302" w:rsidRPr="00074302" w:rsidRDefault="00074302" w:rsidP="007D1F86">
            <w:r w:rsidRPr="00074302">
              <w:rPr>
                <w:b/>
                <w:bCs/>
              </w:rPr>
              <w:t xml:space="preserve">Amount per year (BTU / </w:t>
            </w:r>
            <w:proofErr w:type="spellStart"/>
            <w:r w:rsidRPr="00074302">
              <w:rPr>
                <w:b/>
                <w:bCs/>
              </w:rPr>
              <w:t>yr</w:t>
            </w:r>
            <w:proofErr w:type="spellEnd"/>
            <w:r w:rsidRPr="00074302">
              <w:rPr>
                <w:b/>
                <w:bCs/>
              </w:rPr>
              <w:t xml:space="preserve">) 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302" w:rsidRPr="00074302" w:rsidRDefault="00074302" w:rsidP="007D1F86">
            <w:r w:rsidRPr="00074302">
              <w:rPr>
                <w:b/>
                <w:bCs/>
              </w:rPr>
              <w:t xml:space="preserve">Cost per year ($ / </w:t>
            </w:r>
            <w:proofErr w:type="spellStart"/>
            <w:r w:rsidRPr="00074302">
              <w:rPr>
                <w:b/>
                <w:bCs/>
              </w:rPr>
              <w:t>yr</w:t>
            </w:r>
            <w:proofErr w:type="spellEnd"/>
            <w:r w:rsidRPr="00074302">
              <w:rPr>
                <w:b/>
                <w:bCs/>
              </w:rPr>
              <w:t xml:space="preserve">) </w:t>
            </w:r>
          </w:p>
        </w:tc>
      </w:tr>
      <w:tr w:rsidR="00074302" w:rsidRPr="00074302" w:rsidTr="00A71A76">
        <w:trPr>
          <w:trHeight w:val="449"/>
        </w:trPr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302" w:rsidRPr="00074302" w:rsidRDefault="00074302" w:rsidP="007D1F86">
            <w:r w:rsidRPr="00074302">
              <w:t>Heating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302" w:rsidRPr="00404EFC" w:rsidRDefault="003C1DBB" w:rsidP="007D1F86">
            <w:pPr>
              <w:rPr>
                <w:rFonts w:ascii="Calibri" w:hAnsi="Calibri" w:cs="Calibri"/>
                <w:color w:val="000000"/>
                <w:vertAlign w:val="superscript"/>
              </w:rPr>
            </w:pPr>
            <w:r>
              <w:rPr>
                <w:rFonts w:ascii="Calibri" w:hAnsi="Calibri" w:cs="Calibri"/>
                <w:color w:val="000000"/>
              </w:rPr>
              <w:t>3.3879</w:t>
            </w:r>
            <w:r w:rsidR="00DF7A1F">
              <w:rPr>
                <w:rFonts w:ascii="Calibri" w:hAnsi="Calibri" w:cs="Calibri"/>
                <w:color w:val="000000"/>
              </w:rPr>
              <w:t>*10</w:t>
            </w:r>
            <w:r w:rsidR="00DF7A1F">
              <w:rPr>
                <w:rFonts w:ascii="Calibri" w:hAnsi="Calibri" w:cs="Calibri"/>
                <w:color w:val="000000"/>
                <w:vertAlign w:val="superscript"/>
              </w:rPr>
              <w:t>10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A76" w:rsidRPr="0005717B" w:rsidRDefault="0005717B" w:rsidP="007D1F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1.0841</w:t>
            </w:r>
            <w:r w:rsidR="00C94874">
              <w:rPr>
                <w:rFonts w:ascii="Calibri" w:hAnsi="Calibri" w:cs="Calibri"/>
                <w:color w:val="000000"/>
              </w:rPr>
              <w:t>*10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9</w:t>
            </w:r>
          </w:p>
        </w:tc>
      </w:tr>
      <w:tr w:rsidR="00074302" w:rsidRPr="00074302" w:rsidTr="00D25B6D">
        <w:trPr>
          <w:trHeight w:val="110"/>
        </w:trPr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302" w:rsidRPr="00074302" w:rsidRDefault="00074302" w:rsidP="00074302">
            <w:r w:rsidRPr="00074302">
              <w:t xml:space="preserve">Cooling 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302" w:rsidRPr="006F1184" w:rsidRDefault="00BD6A01" w:rsidP="00074302">
            <w:r>
              <w:t>9.8436</w:t>
            </w:r>
            <w:r w:rsidR="006F1184">
              <w:t>*10</w:t>
            </w:r>
            <w:r w:rsidR="006F1184">
              <w:rPr>
                <w:vertAlign w:val="superscript"/>
              </w:rPr>
              <w:t>10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302" w:rsidRPr="00C94874" w:rsidRDefault="00BD6A01" w:rsidP="000743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2.0672</w:t>
            </w:r>
            <w:r w:rsidR="00C94874">
              <w:rPr>
                <w:rFonts w:ascii="Calibri" w:hAnsi="Calibri" w:cs="Calibri"/>
                <w:color w:val="000000"/>
              </w:rPr>
              <w:t>*10</w:t>
            </w:r>
            <w:r w:rsidR="00681DAD">
              <w:rPr>
                <w:rFonts w:ascii="Calibri" w:hAnsi="Calibri" w:cs="Calibri"/>
                <w:color w:val="000000"/>
                <w:vertAlign w:val="superscript"/>
              </w:rPr>
              <w:t>9</w:t>
            </w:r>
          </w:p>
        </w:tc>
      </w:tr>
      <w:tr w:rsidR="00FB3F84" w:rsidRPr="00074302" w:rsidTr="000377AC">
        <w:trPr>
          <w:trHeight w:val="110"/>
        </w:trPr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F84" w:rsidRPr="00074302" w:rsidRDefault="00FB3F84" w:rsidP="00074302">
            <w:r w:rsidRPr="00074302">
              <w:rPr>
                <w:b/>
                <w:bCs/>
              </w:rPr>
              <w:t xml:space="preserve">Total 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F84" w:rsidRPr="0060518A" w:rsidRDefault="0060518A" w:rsidP="00D57117">
            <w:pPr>
              <w:rPr>
                <w:vertAlign w:val="superscript"/>
              </w:rPr>
            </w:pPr>
            <w:r>
              <w:t>1.</w:t>
            </w:r>
            <w:r w:rsidR="001865BC">
              <w:t>3231</w:t>
            </w:r>
            <w:r>
              <w:t>*10</w:t>
            </w:r>
            <w:r>
              <w:rPr>
                <w:vertAlign w:val="superscript"/>
              </w:rPr>
              <w:t>11</w:t>
            </w:r>
          </w:p>
        </w:tc>
        <w:tc>
          <w:tcPr>
            <w:tcW w:w="2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F84" w:rsidRPr="0060518A" w:rsidRDefault="00456A99" w:rsidP="00EB250B">
            <w:r>
              <w:t>3</w:t>
            </w:r>
            <w:r w:rsidR="0060518A">
              <w:t>.</w:t>
            </w:r>
            <w:r>
              <w:t>1513</w:t>
            </w:r>
            <w:r w:rsidR="0060518A">
              <w:t>*10</w:t>
            </w:r>
            <w:r w:rsidR="00681DAD">
              <w:rPr>
                <w:vertAlign w:val="superscript"/>
              </w:rPr>
              <w:t>9</w:t>
            </w:r>
          </w:p>
        </w:tc>
      </w:tr>
    </w:tbl>
    <w:p w:rsidR="00074302" w:rsidRPr="00FD2A60" w:rsidRDefault="00074302" w:rsidP="00FD2A60"/>
    <w:p w:rsidR="00FD2A60" w:rsidRDefault="00FD2A60" w:rsidP="00FD2A60">
      <w:pPr>
        <w:pStyle w:val="Heading2"/>
      </w:pPr>
      <w:r>
        <w:lastRenderedPageBreak/>
        <w:t xml:space="preserve">3. </w:t>
      </w:r>
    </w:p>
    <w:p w:rsidR="00FD2A60" w:rsidRDefault="00B80331" w:rsidP="00FD2A60">
      <w:r>
        <w:t>To decrease capital costs, one can decre</w:t>
      </w:r>
      <w:r w:rsidR="00316A35">
        <w:t>a</w:t>
      </w:r>
      <w:r>
        <w:t>se the number of stages. Maintaining other specs same will result in an increase in operating costs.</w:t>
      </w:r>
      <w:r w:rsidR="00316A35">
        <w:t xml:space="preserve"> We also note that, since f</w:t>
      </w:r>
      <w:r w:rsidR="00461294">
        <w:t xml:space="preserve">eed stage is fixed to be 8, we </w:t>
      </w:r>
      <w:r w:rsidR="00316A35">
        <w:t>can’t reduce number of stages below 8</w:t>
      </w:r>
      <w:r w:rsidR="0052472A">
        <w:t>.</w:t>
      </w:r>
      <w:r w:rsidR="007E3BAD">
        <w:t xml:space="preserve"> </w:t>
      </w:r>
    </w:p>
    <w:p w:rsidR="006B4670" w:rsidRPr="006B4670" w:rsidRDefault="006B4670" w:rsidP="006B46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ta-IN"/>
        </w:rPr>
      </w:pPr>
    </w:p>
    <w:tbl>
      <w:tblPr>
        <w:tblW w:w="9732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33"/>
        <w:gridCol w:w="2260"/>
        <w:gridCol w:w="2520"/>
        <w:gridCol w:w="2519"/>
      </w:tblGrid>
      <w:tr w:rsidR="006B4670" w:rsidRPr="006B4670" w:rsidTr="00017F8C">
        <w:trPr>
          <w:trHeight w:val="147"/>
        </w:trPr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670" w:rsidRPr="006B4670" w:rsidRDefault="006B4670" w:rsidP="006B4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bidi="ta-IN"/>
              </w:rPr>
            </w:pPr>
            <w:r w:rsidRPr="006B4670">
              <w:rPr>
                <w:rFonts w:ascii="Calibri" w:hAnsi="Calibri" w:cs="Calibri"/>
                <w:color w:val="000000"/>
                <w:sz w:val="24"/>
                <w:szCs w:val="24"/>
                <w:lang w:bidi="ta-IN"/>
              </w:rPr>
              <w:t xml:space="preserve"> </w:t>
            </w:r>
            <w:r w:rsidRPr="006B4670">
              <w:rPr>
                <w:rFonts w:ascii="Calibri" w:hAnsi="Calibri" w:cs="Calibri"/>
                <w:b/>
                <w:bCs/>
                <w:color w:val="000000"/>
                <w:lang w:bidi="ta-IN"/>
              </w:rPr>
              <w:t xml:space="preserve">Item 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670" w:rsidRPr="006B4670" w:rsidRDefault="006B4670" w:rsidP="006B4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bidi="ta-IN"/>
              </w:rPr>
            </w:pPr>
            <w:r w:rsidRPr="006B4670">
              <w:rPr>
                <w:rFonts w:ascii="Calibri" w:hAnsi="Calibri" w:cs="Calibri"/>
                <w:b/>
                <w:bCs/>
                <w:color w:val="000000"/>
                <w:lang w:bidi="ta-IN"/>
              </w:rPr>
              <w:t xml:space="preserve">Old design </w:t>
            </w:r>
            <w:r>
              <w:rPr>
                <w:rFonts w:ascii="Calibri" w:hAnsi="Calibri" w:cs="Calibri"/>
                <w:b/>
                <w:bCs/>
                <w:color w:val="000000"/>
                <w:lang w:bidi="ta-IN"/>
              </w:rPr>
              <w:t>(15 stages)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670" w:rsidRPr="006B4670" w:rsidRDefault="006B4670" w:rsidP="006B4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lang w:bidi="ta-I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bidi="ta-IN"/>
              </w:rPr>
              <w:t>New design 1 (13 stages)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670" w:rsidRPr="006B4670" w:rsidRDefault="006B4670" w:rsidP="006B4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lang w:bidi="ta-I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bidi="ta-IN"/>
              </w:rPr>
              <w:t>New design 2 (10 stages)</w:t>
            </w:r>
          </w:p>
        </w:tc>
      </w:tr>
      <w:tr w:rsidR="006B4670" w:rsidRPr="006B4670" w:rsidTr="00017F8C">
        <w:trPr>
          <w:trHeight w:val="147"/>
        </w:trPr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670" w:rsidRPr="006B4670" w:rsidRDefault="006B4670" w:rsidP="006B4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bidi="ta-IN"/>
              </w:rPr>
            </w:pPr>
            <w:r w:rsidRPr="006B4670">
              <w:rPr>
                <w:rFonts w:ascii="Calibri" w:hAnsi="Calibri" w:cs="Calibri"/>
                <w:color w:val="000000"/>
                <w:lang w:bidi="ta-IN"/>
              </w:rPr>
              <w:t xml:space="preserve">Capital cost </w:t>
            </w:r>
            <w:r w:rsidR="002B7A3D">
              <w:rPr>
                <w:rFonts w:ascii="Calibri" w:hAnsi="Calibri" w:cs="Calibri"/>
                <w:color w:val="000000"/>
                <w:lang w:bidi="ta-IN"/>
              </w:rPr>
              <w:t xml:space="preserve"> (in $)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670" w:rsidRPr="00E557B0" w:rsidRDefault="00E557B0" w:rsidP="00E557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$ 3,833,610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670" w:rsidRPr="006B4670" w:rsidRDefault="001003DA" w:rsidP="00EA3F7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</w:t>
            </w:r>
            <w:r w:rsidR="00EA3F7A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3,804,860 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670" w:rsidRPr="008C12B5" w:rsidRDefault="00CC15DD" w:rsidP="008C12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$ 3,791,000</w:t>
            </w:r>
          </w:p>
        </w:tc>
      </w:tr>
      <w:tr w:rsidR="006B4670" w:rsidRPr="006B4670" w:rsidTr="00017F8C">
        <w:trPr>
          <w:trHeight w:val="147"/>
        </w:trPr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670" w:rsidRPr="006B4670" w:rsidRDefault="006B4670" w:rsidP="006B4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bidi="ta-IN"/>
              </w:rPr>
            </w:pPr>
            <w:r w:rsidRPr="006B4670">
              <w:rPr>
                <w:rFonts w:ascii="Calibri" w:hAnsi="Calibri" w:cs="Calibri"/>
                <w:color w:val="000000"/>
                <w:lang w:bidi="ta-IN"/>
              </w:rPr>
              <w:t xml:space="preserve">Operating cost </w:t>
            </w:r>
            <w:r w:rsidR="002B7A3D">
              <w:rPr>
                <w:rFonts w:ascii="Calibri" w:hAnsi="Calibri" w:cs="Calibri"/>
                <w:color w:val="000000"/>
                <w:lang w:bidi="ta-IN"/>
              </w:rPr>
              <w:t>(in $/year)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670" w:rsidRPr="002559D1" w:rsidRDefault="005D296A" w:rsidP="006B4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vertAlign w:val="superscript"/>
                <w:lang w:bidi="ta-IN"/>
              </w:rPr>
            </w:pPr>
            <w:r w:rsidRPr="005D296A">
              <w:t>$</w:t>
            </w:r>
            <w:r>
              <w:t xml:space="preserve"> </w:t>
            </w:r>
            <w:r w:rsidRPr="005D296A">
              <w:t>1,751,780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670" w:rsidRPr="006B4670" w:rsidRDefault="000305AD" w:rsidP="000305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</w:t>
            </w:r>
            <w:r w:rsidR="00084CA4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1,749,840 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742" w:rsidRPr="00F76742" w:rsidRDefault="00E142E4" w:rsidP="00F7674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vertAlign w:val="superscript"/>
                <w:lang w:bidi="ta-IN"/>
              </w:rPr>
            </w:pPr>
            <w:r>
              <w:rPr>
                <w:rFonts w:ascii="Calibri" w:hAnsi="Calibri" w:cs="Calibri"/>
                <w:color w:val="000000"/>
                <w:lang w:bidi="ta-IN"/>
              </w:rPr>
              <w:t xml:space="preserve">$ </w:t>
            </w:r>
            <w:r w:rsidR="00F76742">
              <w:rPr>
                <w:rFonts w:ascii="Calibri" w:hAnsi="Calibri" w:cs="Calibri"/>
                <w:color w:val="000000"/>
              </w:rPr>
              <w:t xml:space="preserve">1,748,060 </w:t>
            </w:r>
          </w:p>
          <w:p w:rsidR="006B4670" w:rsidRPr="00D36C4B" w:rsidRDefault="006B4670" w:rsidP="006B46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vertAlign w:val="superscript"/>
                <w:lang w:bidi="ta-IN"/>
              </w:rPr>
            </w:pPr>
          </w:p>
        </w:tc>
      </w:tr>
    </w:tbl>
    <w:p w:rsidR="009568A3" w:rsidRDefault="009568A3" w:rsidP="00FD2A60"/>
    <w:p w:rsidR="009568A3" w:rsidRDefault="009568A3" w:rsidP="00FD2A60">
      <w:r>
        <w:t xml:space="preserve">We see </w:t>
      </w:r>
      <w:r w:rsidR="00C051B3">
        <w:t>as number of</w:t>
      </w:r>
      <w:r>
        <w:t xml:space="preserve"> stages</w:t>
      </w:r>
      <w:r w:rsidR="00C051B3">
        <w:t xml:space="preserve"> increases,</w:t>
      </w:r>
      <w:r>
        <w:t xml:space="preserve"> </w:t>
      </w:r>
      <w:r w:rsidR="00C051B3">
        <w:t>b</w:t>
      </w:r>
      <w:r>
        <w:t>oth operating costs and capital costs</w:t>
      </w:r>
      <w:r w:rsidR="00C051B3">
        <w:t xml:space="preserve"> decrease</w:t>
      </w:r>
      <w:r>
        <w:t xml:space="preserve">. But as we can see </w:t>
      </w:r>
      <w:r w:rsidR="00316A35">
        <w:t>the reduction</w:t>
      </w:r>
      <w:r w:rsidR="007E3BAD">
        <w:t xml:space="preserve"> in c</w:t>
      </w:r>
      <w:r w:rsidR="007A21AA">
        <w:t>apital costs is minimal (~</w:t>
      </w:r>
      <w:r w:rsidR="002814A7">
        <w:t>1.11</w:t>
      </w:r>
      <w:r w:rsidR="007A21AA">
        <w:t xml:space="preserve">%). </w:t>
      </w:r>
      <w:r w:rsidR="007E3BAD">
        <w:t xml:space="preserve">So even if </w:t>
      </w:r>
      <w:r w:rsidR="00A22A28">
        <w:t>we allow the number of stages to vary, we can’t significantly reduce the capital cost.</w:t>
      </w:r>
    </w:p>
    <w:p w:rsidR="00813BAC" w:rsidRDefault="00813BAC" w:rsidP="00FD2A60">
      <w:pPr>
        <w:rPr>
          <w:u w:val="single"/>
        </w:rPr>
      </w:pPr>
      <w:r w:rsidRPr="00813BAC">
        <w:rPr>
          <w:u w:val="single"/>
        </w:rPr>
        <w:t>Summary</w:t>
      </w:r>
      <w:r>
        <w:rPr>
          <w:u w:val="single"/>
        </w:rPr>
        <w:t>:</w:t>
      </w:r>
    </w:p>
    <w:p w:rsidR="00813BAC" w:rsidRDefault="00813BAC" w:rsidP="00813BAC">
      <w:pPr>
        <w:pStyle w:val="ListParagraph"/>
        <w:numPr>
          <w:ilvl w:val="0"/>
          <w:numId w:val="2"/>
        </w:numPr>
      </w:pPr>
      <w:r>
        <w:t>Yes, capital cost reduces. But not significant enough.</w:t>
      </w:r>
    </w:p>
    <w:p w:rsidR="00813BAC" w:rsidRPr="00813BAC" w:rsidRDefault="00C051B3" w:rsidP="00813BAC">
      <w:pPr>
        <w:pStyle w:val="ListParagraph"/>
        <w:numPr>
          <w:ilvl w:val="0"/>
          <w:numId w:val="2"/>
        </w:numPr>
      </w:pPr>
      <w:r>
        <w:t>Operating costs have also decreased by an insignificant amount of 0.21%</w:t>
      </w:r>
    </w:p>
    <w:sectPr w:rsidR="00813BAC" w:rsidRPr="00813B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DB3" w:rsidRDefault="00AF2DB3" w:rsidP="00B96125">
      <w:pPr>
        <w:spacing w:after="0" w:line="240" w:lineRule="auto"/>
      </w:pPr>
      <w:r>
        <w:separator/>
      </w:r>
    </w:p>
  </w:endnote>
  <w:endnote w:type="continuationSeparator" w:id="0">
    <w:p w:rsidR="00AF2DB3" w:rsidRDefault="00AF2DB3" w:rsidP="00B96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DB3" w:rsidRDefault="00AF2DB3" w:rsidP="00B96125">
      <w:pPr>
        <w:spacing w:after="0" w:line="240" w:lineRule="auto"/>
      </w:pPr>
      <w:r>
        <w:separator/>
      </w:r>
    </w:p>
  </w:footnote>
  <w:footnote w:type="continuationSeparator" w:id="0">
    <w:p w:rsidR="00AF2DB3" w:rsidRDefault="00AF2DB3" w:rsidP="00B96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A60" w:rsidRDefault="00FD2A60" w:rsidP="00FD2A60">
    <w:pPr>
      <w:pStyle w:val="Header"/>
      <w:jc w:val="right"/>
      <w:rPr>
        <w:b/>
        <w:bCs/>
        <w:lang w:val="en-US"/>
      </w:rPr>
    </w:pPr>
    <w:r>
      <w:rPr>
        <w:b/>
        <w:bCs/>
        <w:lang w:val="en-US"/>
      </w:rPr>
      <w:t>BY S VISHAL</w:t>
    </w:r>
  </w:p>
  <w:p w:rsidR="00FD2A60" w:rsidRPr="00FD2A60" w:rsidRDefault="00FD2A60" w:rsidP="00FD2A60">
    <w:pPr>
      <w:pStyle w:val="Header"/>
      <w:jc w:val="right"/>
      <w:rPr>
        <w:b/>
        <w:bCs/>
        <w:lang w:val="en-US"/>
      </w:rPr>
    </w:pPr>
    <w:r>
      <w:rPr>
        <w:b/>
        <w:bCs/>
        <w:lang w:val="en-US"/>
      </w:rPr>
      <w:t>CH18B020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F074B"/>
    <w:multiLevelType w:val="hybridMultilevel"/>
    <w:tmpl w:val="E3F6D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516A15"/>
    <w:multiLevelType w:val="hybridMultilevel"/>
    <w:tmpl w:val="CB18EF1C"/>
    <w:lvl w:ilvl="0" w:tplc="8738093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67"/>
    <w:rsid w:val="00017F8C"/>
    <w:rsid w:val="000305AD"/>
    <w:rsid w:val="0005717B"/>
    <w:rsid w:val="00074302"/>
    <w:rsid w:val="00084CA4"/>
    <w:rsid w:val="00095757"/>
    <w:rsid w:val="000D1F94"/>
    <w:rsid w:val="000D6FFE"/>
    <w:rsid w:val="000F4171"/>
    <w:rsid w:val="001003DA"/>
    <w:rsid w:val="00143B2F"/>
    <w:rsid w:val="00152E37"/>
    <w:rsid w:val="001865BC"/>
    <w:rsid w:val="001A128D"/>
    <w:rsid w:val="0022019B"/>
    <w:rsid w:val="002410FC"/>
    <w:rsid w:val="002559D1"/>
    <w:rsid w:val="002814A7"/>
    <w:rsid w:val="00284A7C"/>
    <w:rsid w:val="002B7A3D"/>
    <w:rsid w:val="002C11A5"/>
    <w:rsid w:val="002C287B"/>
    <w:rsid w:val="002E1E4E"/>
    <w:rsid w:val="002F250E"/>
    <w:rsid w:val="00301718"/>
    <w:rsid w:val="0031216A"/>
    <w:rsid w:val="00316A35"/>
    <w:rsid w:val="003556FB"/>
    <w:rsid w:val="003A493D"/>
    <w:rsid w:val="003C1DBB"/>
    <w:rsid w:val="003D31A8"/>
    <w:rsid w:val="00404EFC"/>
    <w:rsid w:val="00456A99"/>
    <w:rsid w:val="00461261"/>
    <w:rsid w:val="00461294"/>
    <w:rsid w:val="004C145D"/>
    <w:rsid w:val="004D7502"/>
    <w:rsid w:val="0052472A"/>
    <w:rsid w:val="00556D0E"/>
    <w:rsid w:val="005C6739"/>
    <w:rsid w:val="005D296A"/>
    <w:rsid w:val="005E52CB"/>
    <w:rsid w:val="006020F9"/>
    <w:rsid w:val="0060518A"/>
    <w:rsid w:val="00631143"/>
    <w:rsid w:val="00673FF0"/>
    <w:rsid w:val="00681DAD"/>
    <w:rsid w:val="00683E63"/>
    <w:rsid w:val="006963D1"/>
    <w:rsid w:val="006B4670"/>
    <w:rsid w:val="006F1184"/>
    <w:rsid w:val="00711DF1"/>
    <w:rsid w:val="00714830"/>
    <w:rsid w:val="007229A4"/>
    <w:rsid w:val="007A21AA"/>
    <w:rsid w:val="007D1F86"/>
    <w:rsid w:val="007E3BAD"/>
    <w:rsid w:val="00813BAC"/>
    <w:rsid w:val="00831667"/>
    <w:rsid w:val="00881CA9"/>
    <w:rsid w:val="008C12B5"/>
    <w:rsid w:val="00942E21"/>
    <w:rsid w:val="009568A3"/>
    <w:rsid w:val="009C5535"/>
    <w:rsid w:val="00A035D2"/>
    <w:rsid w:val="00A07D5F"/>
    <w:rsid w:val="00A22A28"/>
    <w:rsid w:val="00A30DFD"/>
    <w:rsid w:val="00A51C1E"/>
    <w:rsid w:val="00A6114B"/>
    <w:rsid w:val="00A71A76"/>
    <w:rsid w:val="00A94DE1"/>
    <w:rsid w:val="00AB3FC3"/>
    <w:rsid w:val="00AE5722"/>
    <w:rsid w:val="00AF2DB3"/>
    <w:rsid w:val="00B00766"/>
    <w:rsid w:val="00B014CC"/>
    <w:rsid w:val="00B25734"/>
    <w:rsid w:val="00B725E9"/>
    <w:rsid w:val="00B80331"/>
    <w:rsid w:val="00B87756"/>
    <w:rsid w:val="00B96125"/>
    <w:rsid w:val="00BB238D"/>
    <w:rsid w:val="00BD6A01"/>
    <w:rsid w:val="00C051B3"/>
    <w:rsid w:val="00C732E3"/>
    <w:rsid w:val="00C76168"/>
    <w:rsid w:val="00C94874"/>
    <w:rsid w:val="00CB07F8"/>
    <w:rsid w:val="00CC15DD"/>
    <w:rsid w:val="00CE6514"/>
    <w:rsid w:val="00D04D15"/>
    <w:rsid w:val="00D36C4B"/>
    <w:rsid w:val="00D57117"/>
    <w:rsid w:val="00DA63F1"/>
    <w:rsid w:val="00DF7A1F"/>
    <w:rsid w:val="00E142E4"/>
    <w:rsid w:val="00E25052"/>
    <w:rsid w:val="00E438FD"/>
    <w:rsid w:val="00E557B0"/>
    <w:rsid w:val="00EA3F7A"/>
    <w:rsid w:val="00EB250B"/>
    <w:rsid w:val="00F10D5E"/>
    <w:rsid w:val="00F14156"/>
    <w:rsid w:val="00F566F8"/>
    <w:rsid w:val="00F70EB8"/>
    <w:rsid w:val="00F76742"/>
    <w:rsid w:val="00FB3F84"/>
    <w:rsid w:val="00FB50E2"/>
    <w:rsid w:val="00FB5E7F"/>
    <w:rsid w:val="00FD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758FC-EC8C-45CB-927E-0DB1A720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6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125"/>
  </w:style>
  <w:style w:type="paragraph" w:styleId="Footer">
    <w:name w:val="footer"/>
    <w:basedOn w:val="Normal"/>
    <w:link w:val="FooterChar"/>
    <w:uiPriority w:val="99"/>
    <w:unhideWhenUsed/>
    <w:rsid w:val="00B96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125"/>
  </w:style>
  <w:style w:type="character" w:customStyle="1" w:styleId="Heading1Char">
    <w:name w:val="Heading 1 Char"/>
    <w:basedOn w:val="DefaultParagraphFont"/>
    <w:link w:val="Heading1"/>
    <w:uiPriority w:val="9"/>
    <w:rsid w:val="00FD2A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2A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6B46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a-IN"/>
    </w:rPr>
  </w:style>
  <w:style w:type="paragraph" w:styleId="ListParagraph">
    <w:name w:val="List Paragraph"/>
    <w:basedOn w:val="Normal"/>
    <w:uiPriority w:val="34"/>
    <w:qFormat/>
    <w:rsid w:val="00813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130</cp:revision>
  <cp:lastPrinted>2022-02-20T16:12:00Z</cp:lastPrinted>
  <dcterms:created xsi:type="dcterms:W3CDTF">2022-02-14T08:48:00Z</dcterms:created>
  <dcterms:modified xsi:type="dcterms:W3CDTF">2022-02-20T16:13:00Z</dcterms:modified>
</cp:coreProperties>
</file>