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570" w:rsidRDefault="005B0570" w:rsidP="005B0570">
      <w:pPr>
        <w:pStyle w:val="Heading1"/>
      </w:pPr>
      <w:r>
        <w:t>Question 1)</w:t>
      </w:r>
    </w:p>
    <w:p w:rsidR="009C5535" w:rsidRDefault="00CB0FE7" w:rsidP="005B0570">
      <w:pPr>
        <w:pStyle w:val="Heading2"/>
      </w:pPr>
      <w:r>
        <w:t>Question 1) b)</w:t>
      </w:r>
      <w:r w:rsidR="00293FB3">
        <w:t xml:space="preserve"> RL plot</w:t>
      </w:r>
    </w:p>
    <w:p w:rsidR="00CB0FE7" w:rsidRDefault="00CB0FE7" w:rsidP="00CB0FE7">
      <w:r>
        <w:rPr>
          <w:noProof/>
          <w:lang w:eastAsia="en-GB" w:bidi="ta-IN"/>
        </w:rPr>
        <w:drawing>
          <wp:inline distT="0" distB="0" distL="0" distR="0">
            <wp:extent cx="5731510" cy="2794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CB0FE7" w:rsidRDefault="00CB0FE7" w:rsidP="00CB0FE7">
      <w:pPr>
        <w:rPr>
          <w:i/>
          <w:iCs/>
        </w:rPr>
      </w:pPr>
      <w:r>
        <w:rPr>
          <w:i/>
          <w:iCs/>
        </w:rPr>
        <w:t xml:space="preserve">Figure 1.1: Root Locus Plot generated using </w:t>
      </w:r>
      <w:proofErr w:type="spellStart"/>
      <w:r>
        <w:rPr>
          <w:i/>
          <w:iCs/>
        </w:rPr>
        <w:t>rlocusplot</w:t>
      </w:r>
      <w:proofErr w:type="spellEnd"/>
      <w:r>
        <w:rPr>
          <w:i/>
          <w:iCs/>
        </w:rPr>
        <w:t xml:space="preserve"> in MATLAB</w:t>
      </w:r>
    </w:p>
    <w:p w:rsidR="00CB0FE7" w:rsidRPr="00CB0FE7" w:rsidRDefault="00CB0FE7" w:rsidP="00CB0FE7">
      <w:r>
        <w:t>We can also see that the asymptotes meet at -9 (cen</w:t>
      </w:r>
      <w:r w:rsidR="006A27F4">
        <w:t>troid) and at angles of 90 and 270 degree</w:t>
      </w:r>
      <w:r>
        <w:t>s respectively</w:t>
      </w:r>
    </w:p>
    <w:p w:rsidR="00CB0FE7" w:rsidRPr="00CB0FE7" w:rsidRDefault="00CB0FE7" w:rsidP="00CB0FE7"/>
    <w:p w:rsidR="00CB0FE7" w:rsidRDefault="00CB0FE7" w:rsidP="00CB0FE7">
      <w:r>
        <w:rPr>
          <w:noProof/>
          <w:lang w:eastAsia="en-GB" w:bidi="ta-IN"/>
        </w:rPr>
        <w:drawing>
          <wp:inline distT="0" distB="0" distL="0" distR="0">
            <wp:extent cx="5731510" cy="2794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i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CB0FE7" w:rsidRPr="00CB0FE7" w:rsidRDefault="00CB0FE7" w:rsidP="00CB0FE7">
      <w:pPr>
        <w:rPr>
          <w:i/>
          <w:iCs/>
        </w:rPr>
      </w:pPr>
      <w:r>
        <w:rPr>
          <w:i/>
          <w:iCs/>
        </w:rPr>
        <w:t>Figure 1.2 a): Verifying break away point-1</w:t>
      </w:r>
    </w:p>
    <w:p w:rsidR="00CB0FE7" w:rsidRDefault="00CB0FE7" w:rsidP="00CB0FE7">
      <w:r>
        <w:rPr>
          <w:noProof/>
          <w:lang w:eastAsia="en-GB" w:bidi="ta-IN"/>
        </w:rPr>
        <w:lastRenderedPageBreak/>
        <w:drawing>
          <wp:inline distT="0" distB="0" distL="0" distR="0" wp14:anchorId="1AF42E1E" wp14:editId="2499E66E">
            <wp:extent cx="5731510" cy="2794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ak-i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CB0FE7" w:rsidRDefault="00CB0FE7" w:rsidP="00CB0FE7">
      <w:pPr>
        <w:rPr>
          <w:i/>
          <w:iCs/>
        </w:rPr>
      </w:pPr>
      <w:r>
        <w:rPr>
          <w:i/>
          <w:iCs/>
        </w:rPr>
        <w:t>Figure 1.2 b): Verifying break away point-2</w:t>
      </w:r>
    </w:p>
    <w:p w:rsidR="00293FB3" w:rsidRPr="00293FB3" w:rsidRDefault="00293FB3" w:rsidP="005B0570">
      <w:pPr>
        <w:pStyle w:val="Heading2"/>
      </w:pPr>
      <w:r>
        <w:t>Question 1) c) Ultimate Gain verification</w:t>
      </w:r>
    </w:p>
    <w:p w:rsidR="00CB0FE7" w:rsidRDefault="00CB0FE7" w:rsidP="00CB0FE7"/>
    <w:p w:rsidR="00CB0FE7" w:rsidRDefault="00CB0FE7" w:rsidP="00CB0FE7">
      <w:r>
        <w:rPr>
          <w:noProof/>
          <w:lang w:eastAsia="en-GB" w:bidi="ta-IN"/>
        </w:rPr>
        <w:drawing>
          <wp:inline distT="0" distB="0" distL="0" distR="0">
            <wp:extent cx="5731510" cy="2794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imate_gai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293FB3" w:rsidRDefault="00293FB3" w:rsidP="00CB0FE7">
      <w:pPr>
        <w:rPr>
          <w:i/>
          <w:iCs/>
        </w:rPr>
      </w:pPr>
      <w:r>
        <w:rPr>
          <w:i/>
          <w:iCs/>
        </w:rPr>
        <w:t>Figure 1.3: Finding the cross-over point.</w:t>
      </w:r>
    </w:p>
    <w:p w:rsidR="00293FB3" w:rsidRDefault="00293FB3" w:rsidP="00CB0FE7">
      <w:r>
        <w:t>From the above plot we can see that at approximately the cross-over point, the gain is approximately 4.69. This is very close to the analytically computed value of 4.696 hence verifying it.</w:t>
      </w:r>
    </w:p>
    <w:p w:rsidR="00293FB3" w:rsidRDefault="005B0570" w:rsidP="005B0570">
      <w:pPr>
        <w:pStyle w:val="Heading2"/>
      </w:pPr>
      <w:r>
        <w:t>Question 1) d) Minimising settling time</w:t>
      </w:r>
    </w:p>
    <w:p w:rsidR="00795D4A" w:rsidRDefault="00795D4A" w:rsidP="005B0570">
      <w:r>
        <w:t>We know that K</w:t>
      </w:r>
      <w:r>
        <w:rPr>
          <w:vertAlign w:val="subscript"/>
        </w:rPr>
        <w:t>C</w:t>
      </w:r>
      <w:r>
        <w:t xml:space="preserve"> &gt; 0, and K</w:t>
      </w:r>
      <w:r>
        <w:rPr>
          <w:vertAlign w:val="subscript"/>
        </w:rPr>
        <w:t xml:space="preserve">C </w:t>
      </w:r>
      <w:r>
        <w:t>&lt; K</w:t>
      </w:r>
      <w:r>
        <w:rPr>
          <w:vertAlign w:val="subscript"/>
        </w:rPr>
        <w:t>C</w:t>
      </w:r>
      <w:proofErr w:type="gramStart"/>
      <w:r>
        <w:rPr>
          <w:vertAlign w:val="subscript"/>
        </w:rPr>
        <w:t>,U</w:t>
      </w:r>
      <w:proofErr w:type="gramEnd"/>
      <w:r>
        <w:rPr>
          <w:vertAlign w:val="subscript"/>
        </w:rPr>
        <w:t xml:space="preserve"> </w:t>
      </w:r>
      <w:r>
        <w:t xml:space="preserve">= 4.696. </w:t>
      </w:r>
    </w:p>
    <w:p w:rsidR="005B0570" w:rsidRDefault="00795D4A" w:rsidP="005B0570">
      <w:r>
        <w:t>So the K</w:t>
      </w:r>
      <w:r>
        <w:rPr>
          <w:vertAlign w:val="subscript"/>
        </w:rPr>
        <w:t>C</w:t>
      </w:r>
      <w:r>
        <w:t xml:space="preserve"> value which gives the minimum settling time must be between these 2 values. Employing the function ‘</w:t>
      </w:r>
      <w:proofErr w:type="spellStart"/>
      <w:r w:rsidRPr="00795D4A">
        <w:rPr>
          <w:b/>
          <w:bCs/>
        </w:rPr>
        <w:t>stepinfo</w:t>
      </w:r>
      <w:proofErr w:type="spellEnd"/>
      <w:r>
        <w:t>’ which gives the settling time (apart from an assortment of other information about the step response), we evaluate settling time for all K</w:t>
      </w:r>
      <w:r>
        <w:rPr>
          <w:vertAlign w:val="subscript"/>
        </w:rPr>
        <w:t xml:space="preserve">C </w:t>
      </w:r>
      <w:r>
        <w:t>values between 0 and 4.69 (with 2 decimal place accuracy) and find the K</w:t>
      </w:r>
      <w:r>
        <w:rPr>
          <w:vertAlign w:val="subscript"/>
        </w:rPr>
        <w:t xml:space="preserve">C </w:t>
      </w:r>
      <w:r>
        <w:t>which gives the minimum value.</w:t>
      </w:r>
    </w:p>
    <w:p w:rsidR="00795D4A" w:rsidRDefault="00795D4A" w:rsidP="005B0570">
      <w:r>
        <w:lastRenderedPageBreak/>
        <w:t xml:space="preserve">The required </w:t>
      </w:r>
      <w:r w:rsidRPr="00795D4A">
        <w:rPr>
          <w:b/>
          <w:bCs/>
        </w:rPr>
        <w:t>K</w:t>
      </w:r>
      <w:r w:rsidRPr="00795D4A">
        <w:rPr>
          <w:b/>
          <w:bCs/>
          <w:vertAlign w:val="subscript"/>
        </w:rPr>
        <w:t>C</w:t>
      </w:r>
      <w:r w:rsidRPr="00795D4A">
        <w:rPr>
          <w:b/>
          <w:bCs/>
        </w:rPr>
        <w:t xml:space="preserve"> =</w:t>
      </w:r>
      <w:r>
        <w:t xml:space="preserve"> </w:t>
      </w:r>
      <w:r w:rsidRPr="00795D4A">
        <w:rPr>
          <w:b/>
          <w:bCs/>
        </w:rPr>
        <w:t>0.85</w:t>
      </w:r>
      <w:r>
        <w:t xml:space="preserve"> and it has a settling time of 9.0798 units.</w:t>
      </w:r>
    </w:p>
    <w:p w:rsidR="00795D4A" w:rsidRDefault="00795D4A" w:rsidP="005B0570">
      <w:r>
        <w:t xml:space="preserve">This is further verified using </w:t>
      </w:r>
      <w:proofErr w:type="spellStart"/>
      <w:r>
        <w:t>rltool</w:t>
      </w:r>
      <w:proofErr w:type="spellEnd"/>
      <w:r>
        <w:t>. We need to get the dominant pole away from origin as far as possible to quicken the dynamics of the system. (And that the same time all poles should be in LHP)</w:t>
      </w:r>
    </w:p>
    <w:p w:rsidR="00795D4A" w:rsidRDefault="00795D4A" w:rsidP="005B0570">
      <w:r>
        <w:t>This is achieved in this configuration:</w:t>
      </w:r>
    </w:p>
    <w:p w:rsidR="00795D4A" w:rsidRDefault="00795D4A" w:rsidP="005B0570">
      <w:r w:rsidRPr="00795D4A">
        <w:rPr>
          <w:noProof/>
          <w:lang w:eastAsia="en-GB" w:bidi="ta-IN"/>
        </w:rPr>
        <w:drawing>
          <wp:inline distT="0" distB="0" distL="0" distR="0" wp14:anchorId="083832F8" wp14:editId="416A5F21">
            <wp:extent cx="5731510" cy="2504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4440"/>
                    </a:xfrm>
                    <a:prstGeom prst="rect">
                      <a:avLst/>
                    </a:prstGeom>
                  </pic:spPr>
                </pic:pic>
              </a:graphicData>
            </a:graphic>
          </wp:inline>
        </w:drawing>
      </w:r>
    </w:p>
    <w:p w:rsidR="00795D4A" w:rsidRDefault="00795D4A" w:rsidP="005B0570">
      <w:pPr>
        <w:rPr>
          <w:i/>
          <w:iCs/>
        </w:rPr>
      </w:pPr>
      <w:r>
        <w:rPr>
          <w:i/>
          <w:iCs/>
        </w:rPr>
        <w:t xml:space="preserve">Figure 1.4: RL plot using </w:t>
      </w:r>
      <w:proofErr w:type="spellStart"/>
      <w:r>
        <w:rPr>
          <w:i/>
          <w:iCs/>
        </w:rPr>
        <w:t>rltool</w:t>
      </w:r>
      <w:proofErr w:type="spellEnd"/>
      <w:r>
        <w:rPr>
          <w:i/>
          <w:iCs/>
        </w:rPr>
        <w:t xml:space="preserve"> at minimum settling time</w:t>
      </w:r>
    </w:p>
    <w:p w:rsidR="00795D4A" w:rsidRDefault="00B06057" w:rsidP="005B0570">
      <w:pPr>
        <w:rPr>
          <w:i/>
          <w:iCs/>
        </w:rPr>
      </w:pPr>
      <w:r w:rsidRPr="00B06057">
        <w:rPr>
          <w:i/>
          <w:iCs/>
          <w:noProof/>
          <w:lang w:eastAsia="en-GB" w:bidi="ta-IN"/>
        </w:rPr>
        <w:drawing>
          <wp:inline distT="0" distB="0" distL="0" distR="0" wp14:anchorId="586E232F" wp14:editId="436E5B4D">
            <wp:extent cx="5731510" cy="3475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5355"/>
                    </a:xfrm>
                    <a:prstGeom prst="rect">
                      <a:avLst/>
                    </a:prstGeom>
                  </pic:spPr>
                </pic:pic>
              </a:graphicData>
            </a:graphic>
          </wp:inline>
        </w:drawing>
      </w:r>
    </w:p>
    <w:p w:rsidR="00B06057" w:rsidRDefault="00B06057" w:rsidP="005B0570">
      <w:pPr>
        <w:rPr>
          <w:i/>
          <w:iCs/>
        </w:rPr>
      </w:pPr>
      <w:r>
        <w:rPr>
          <w:i/>
          <w:iCs/>
        </w:rPr>
        <w:t>Figure 1.5: Settling time for the optimal Kc.</w:t>
      </w:r>
    </w:p>
    <w:p w:rsidR="00B06057" w:rsidRDefault="00B06057" w:rsidP="00B06057">
      <w:pPr>
        <w:pStyle w:val="Heading2"/>
      </w:pPr>
      <w:r>
        <w:t>Question 1) e) Ultimate gain for K</w:t>
      </w:r>
      <w:r>
        <w:rPr>
          <w:vertAlign w:val="subscript"/>
        </w:rPr>
        <w:t>I</w:t>
      </w:r>
    </w:p>
    <w:p w:rsidR="00B06057" w:rsidRDefault="00B06057" w:rsidP="00B06057">
      <w:r>
        <w:t xml:space="preserve">Given that the equation for solving s = </w:t>
      </w:r>
      <w:proofErr w:type="spellStart"/>
      <w:r>
        <w:t>jw</w:t>
      </w:r>
      <w:proofErr w:type="spellEnd"/>
      <w:r>
        <w:t xml:space="preserve"> is complicated, it is much easier to use the root-locus plot generated by MATLAB.</w:t>
      </w:r>
    </w:p>
    <w:p w:rsidR="00B06057" w:rsidRDefault="008349EF" w:rsidP="00B06057">
      <w:r w:rsidRPr="008349EF">
        <w:rPr>
          <w:noProof/>
          <w:lang w:eastAsia="en-GB" w:bidi="ta-IN"/>
        </w:rPr>
        <w:lastRenderedPageBreak/>
        <w:drawing>
          <wp:inline distT="0" distB="0" distL="0" distR="0" wp14:anchorId="0DF22DE9" wp14:editId="6F7E48DD">
            <wp:extent cx="5731510" cy="31730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3095"/>
                    </a:xfrm>
                    <a:prstGeom prst="rect">
                      <a:avLst/>
                    </a:prstGeom>
                  </pic:spPr>
                </pic:pic>
              </a:graphicData>
            </a:graphic>
          </wp:inline>
        </w:drawing>
      </w:r>
    </w:p>
    <w:p w:rsidR="00B06057" w:rsidRDefault="00B06057" w:rsidP="00B06057">
      <w:pPr>
        <w:rPr>
          <w:i/>
          <w:iCs/>
        </w:rPr>
      </w:pPr>
      <w:r>
        <w:rPr>
          <w:i/>
          <w:iCs/>
        </w:rPr>
        <w:t>Figure 1.6 a): The required root locus plot</w:t>
      </w:r>
    </w:p>
    <w:p w:rsidR="00B06057" w:rsidRDefault="008349EF" w:rsidP="00B06057">
      <w:r w:rsidRPr="008349EF">
        <w:rPr>
          <w:noProof/>
          <w:lang w:eastAsia="en-GB" w:bidi="ta-IN"/>
        </w:rPr>
        <w:drawing>
          <wp:inline distT="0" distB="0" distL="0" distR="0" wp14:anchorId="2E732F7B" wp14:editId="76518CB3">
            <wp:extent cx="5731510" cy="2768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8600"/>
                    </a:xfrm>
                    <a:prstGeom prst="rect">
                      <a:avLst/>
                    </a:prstGeom>
                  </pic:spPr>
                </pic:pic>
              </a:graphicData>
            </a:graphic>
          </wp:inline>
        </w:drawing>
      </w:r>
    </w:p>
    <w:p w:rsidR="00B06057" w:rsidRDefault="008349EF" w:rsidP="005B0570">
      <w:pPr>
        <w:rPr>
          <w:i/>
          <w:iCs/>
          <w:lang w:val="en-US"/>
        </w:rPr>
      </w:pPr>
      <w:r>
        <w:rPr>
          <w:i/>
          <w:iCs/>
          <w:lang w:val="en-US"/>
        </w:rPr>
        <w:t>Figure 1.6 b): Finding the cross-over point</w:t>
      </w:r>
    </w:p>
    <w:p w:rsidR="008F6D56" w:rsidRPr="008F6D56" w:rsidRDefault="008F6D56" w:rsidP="005B0570">
      <w:pPr>
        <w:rPr>
          <w:lang w:val="en-US"/>
        </w:rPr>
      </w:pPr>
      <w:proofErr w:type="spellStart"/>
      <w:r>
        <w:rPr>
          <w:lang w:val="en-US"/>
        </w:rPr>
        <w:t>K</w:t>
      </w:r>
      <w:r>
        <w:rPr>
          <w:vertAlign w:val="subscript"/>
          <w:lang w:val="en-US"/>
        </w:rPr>
        <w:t>I</w:t>
      </w:r>
      <w:proofErr w:type="gramStart"/>
      <w:r>
        <w:rPr>
          <w:vertAlign w:val="subscript"/>
          <w:lang w:val="en-US"/>
        </w:rPr>
        <w:t>,ultimate</w:t>
      </w:r>
      <w:proofErr w:type="spellEnd"/>
      <w:proofErr w:type="gramEnd"/>
      <w:r>
        <w:rPr>
          <w:lang w:val="en-US"/>
        </w:rPr>
        <w:t xml:space="preserve"> = 0.384.</w:t>
      </w:r>
    </w:p>
    <w:p w:rsidR="008F6D56" w:rsidRPr="008349EF" w:rsidRDefault="008F6D56" w:rsidP="005B0570">
      <w:pPr>
        <w:rPr>
          <w:i/>
          <w:iCs/>
          <w:lang w:val="en-US"/>
        </w:rPr>
      </w:pPr>
    </w:p>
    <w:p w:rsidR="00CB0FE7" w:rsidRDefault="00B357D0" w:rsidP="00CB0FE7">
      <w:r>
        <w:t xml:space="preserve">Note: there is </w:t>
      </w:r>
      <w:proofErr w:type="gramStart"/>
      <w:r>
        <w:t>a another</w:t>
      </w:r>
      <w:proofErr w:type="gramEnd"/>
      <w:r>
        <w:t xml:space="preserve"> cross-over point at 1.540*10^3. </w:t>
      </w:r>
      <w:r w:rsidR="00654C14">
        <w:t>If</w:t>
      </w:r>
      <w:r>
        <w:t xml:space="preserve"> K</w:t>
      </w:r>
      <w:r>
        <w:rPr>
          <w:vertAlign w:val="subscript"/>
        </w:rPr>
        <w:t>I</w:t>
      </w:r>
      <w:r>
        <w:t>&gt;0.38 there will be RHP poles (although</w:t>
      </w:r>
      <w:r w:rsidR="00654C14">
        <w:t xml:space="preserve"> there will be some LHP poles also)</w:t>
      </w:r>
      <w:r w:rsidR="001A52A7">
        <w:t>. So the ultimate gain is the gai</w:t>
      </w:r>
      <w:r w:rsidR="007E4B87">
        <w:t>n at the first cross-over point.</w:t>
      </w:r>
    </w:p>
    <w:p w:rsidR="00F66419" w:rsidRDefault="00F66419" w:rsidP="00CB0FE7"/>
    <w:p w:rsidR="00F66419" w:rsidRDefault="00F66419" w:rsidP="00CB0FE7"/>
    <w:p w:rsidR="00F66419" w:rsidRDefault="00F66419" w:rsidP="00CB0FE7"/>
    <w:p w:rsidR="00F66419" w:rsidRDefault="00F66419" w:rsidP="00CB0FE7"/>
    <w:p w:rsidR="00F66419" w:rsidRDefault="00F66419" w:rsidP="00F66419">
      <w:pPr>
        <w:pStyle w:val="Heading1"/>
      </w:pPr>
      <w:r>
        <w:lastRenderedPageBreak/>
        <w:t>Question 2)</w:t>
      </w:r>
    </w:p>
    <w:p w:rsidR="00F66419" w:rsidRDefault="00F66419" w:rsidP="00F66419">
      <w:pPr>
        <w:pStyle w:val="Heading2"/>
      </w:pPr>
      <w:r>
        <w:t>Question 2) a)</w:t>
      </w:r>
      <w:r w:rsidR="00F86E11">
        <w:t xml:space="preserve"> P-Control design for given GM</w:t>
      </w:r>
    </w:p>
    <w:p w:rsidR="00EE563F" w:rsidRPr="002651D8" w:rsidRDefault="003C74B3" w:rsidP="003C74B3">
      <w:pPr>
        <w:rPr>
          <w:rFonts w:cs="Mangal"/>
          <w:szCs w:val="20"/>
          <w:lang w:val="en-US" w:bidi="sa-IN"/>
        </w:rPr>
      </w:pPr>
      <w:r>
        <w:rPr>
          <w:rFonts w:cs="Mangal"/>
          <w:szCs w:val="20"/>
          <w:lang w:val="en-US" w:bidi="sa-IN"/>
        </w:rPr>
        <w:t xml:space="preserve">We can </w:t>
      </w:r>
      <w:r w:rsidR="00ED6FC0">
        <w:rPr>
          <w:rFonts w:cs="Mangal"/>
          <w:szCs w:val="20"/>
          <w:lang w:val="en-US" w:bidi="sa-IN"/>
        </w:rPr>
        <w:t>use the Bode stability criteria and obtain the Gain margin for K</w:t>
      </w:r>
      <w:r w:rsidR="00ED6FC0">
        <w:rPr>
          <w:rFonts w:cs="Mangal"/>
          <w:szCs w:val="20"/>
          <w:vertAlign w:val="subscript"/>
          <w:lang w:val="en-US" w:bidi="sa-IN"/>
        </w:rPr>
        <w:t>C</w:t>
      </w:r>
      <w:r w:rsidR="00ED6FC0">
        <w:rPr>
          <w:rFonts w:cs="Mangal"/>
          <w:szCs w:val="20"/>
          <w:lang w:val="en-US" w:bidi="sa-IN"/>
        </w:rPr>
        <w:t xml:space="preserve"> = 1.</w:t>
      </w:r>
      <w:r w:rsidR="002651D8">
        <w:rPr>
          <w:rFonts w:cs="Mangal"/>
          <w:szCs w:val="20"/>
          <w:lang w:val="en-US" w:bidi="sa-IN"/>
        </w:rPr>
        <w:t xml:space="preserve"> So L is simply equal to G</w:t>
      </w:r>
      <w:r w:rsidR="002651D8">
        <w:rPr>
          <w:rFonts w:cs="Mangal"/>
          <w:szCs w:val="20"/>
          <w:vertAlign w:val="subscript"/>
          <w:lang w:val="en-US" w:bidi="sa-IN"/>
        </w:rPr>
        <w:t>P</w:t>
      </w:r>
      <w:r w:rsidR="002651D8">
        <w:rPr>
          <w:rFonts w:cs="Mangal"/>
          <w:szCs w:val="20"/>
          <w:lang w:val="en-US" w:bidi="sa-IN"/>
        </w:rPr>
        <w:t xml:space="preserve"> as given below.</w:t>
      </w:r>
    </w:p>
    <w:p w:rsidR="00EE563F" w:rsidRDefault="00EE563F" w:rsidP="003C74B3">
      <w:pPr>
        <w:rPr>
          <w:rFonts w:cs="Mangal"/>
          <w:szCs w:val="20"/>
          <w:lang w:val="en-US" w:bidi="sa-IN"/>
        </w:rPr>
      </w:pPr>
      <w:r w:rsidRPr="00EE563F">
        <w:rPr>
          <w:rFonts w:cs="Mangal"/>
          <w:noProof/>
          <w:szCs w:val="20"/>
          <w:lang w:eastAsia="en-GB" w:bidi="ta-IN"/>
        </w:rPr>
        <w:drawing>
          <wp:inline distT="0" distB="0" distL="0" distR="0" wp14:anchorId="354811F6" wp14:editId="667299B7">
            <wp:extent cx="3101609" cy="13564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1356478"/>
                    </a:xfrm>
                    <a:prstGeom prst="rect">
                      <a:avLst/>
                    </a:prstGeom>
                  </pic:spPr>
                </pic:pic>
              </a:graphicData>
            </a:graphic>
          </wp:inline>
        </w:drawing>
      </w:r>
    </w:p>
    <w:p w:rsidR="00EE563F" w:rsidRDefault="00EE563F" w:rsidP="003C74B3">
      <w:pPr>
        <w:rPr>
          <w:rFonts w:cs="Mangal"/>
          <w:szCs w:val="20"/>
          <w:lang w:val="en-US" w:bidi="sa-IN"/>
        </w:rPr>
      </w:pPr>
    </w:p>
    <w:p w:rsidR="00ED6FC0" w:rsidRDefault="00ED6FC0" w:rsidP="003C74B3">
      <w:pPr>
        <w:rPr>
          <w:rFonts w:cs="Mangal"/>
          <w:szCs w:val="20"/>
          <w:lang w:val="en-US" w:bidi="sa-IN"/>
        </w:rPr>
      </w:pPr>
      <w:r w:rsidRPr="00ED6FC0">
        <w:rPr>
          <w:rFonts w:cs="Mangal"/>
          <w:noProof/>
          <w:szCs w:val="20"/>
          <w:lang w:eastAsia="en-GB" w:bidi="ta-IN"/>
        </w:rPr>
        <w:drawing>
          <wp:inline distT="0" distB="0" distL="0" distR="0" wp14:anchorId="2CD7FFAE" wp14:editId="1E440B57">
            <wp:extent cx="5731510" cy="29102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10205"/>
                    </a:xfrm>
                    <a:prstGeom prst="rect">
                      <a:avLst/>
                    </a:prstGeom>
                  </pic:spPr>
                </pic:pic>
              </a:graphicData>
            </a:graphic>
          </wp:inline>
        </w:drawing>
      </w:r>
    </w:p>
    <w:p w:rsidR="00ED6FC0" w:rsidRDefault="00ED6FC0" w:rsidP="003C74B3">
      <w:pPr>
        <w:rPr>
          <w:rFonts w:cs="Mangal"/>
          <w:i/>
          <w:iCs/>
          <w:szCs w:val="20"/>
          <w:lang w:val="en-US" w:bidi="sa-IN"/>
        </w:rPr>
      </w:pPr>
      <w:r>
        <w:rPr>
          <w:rFonts w:cs="Mangal"/>
          <w:i/>
          <w:iCs/>
          <w:szCs w:val="20"/>
          <w:lang w:val="en-US" w:bidi="sa-IN"/>
        </w:rPr>
        <w:t>Figure 2.1: Bode Diagram (using ‘margin’ function).</w:t>
      </w:r>
    </w:p>
    <w:p w:rsidR="00ED6FC0" w:rsidRPr="00ED6FC0" w:rsidRDefault="00ED6FC0" w:rsidP="003C74B3">
      <w:pPr>
        <w:rPr>
          <w:rFonts w:cs="Mangal"/>
          <w:b/>
          <w:bCs/>
          <w:szCs w:val="20"/>
          <w:lang w:val="en-US" w:bidi="sa-IN"/>
        </w:rPr>
      </w:pPr>
      <w:r>
        <w:rPr>
          <w:rFonts w:cs="Mangal"/>
          <w:b/>
          <w:bCs/>
          <w:szCs w:val="20"/>
          <w:lang w:val="en-US" w:bidi="sa-IN"/>
        </w:rPr>
        <w:t>G</w:t>
      </w:r>
      <w:r>
        <w:rPr>
          <w:rFonts w:cs="Mangal"/>
          <w:b/>
          <w:bCs/>
          <w:szCs w:val="20"/>
          <w:vertAlign w:val="subscript"/>
          <w:lang w:val="en-US" w:bidi="sa-IN"/>
        </w:rPr>
        <w:t>M</w:t>
      </w:r>
      <w:r>
        <w:rPr>
          <w:rFonts w:cs="Mangal"/>
          <w:b/>
          <w:bCs/>
          <w:szCs w:val="20"/>
          <w:lang w:val="en-US" w:bidi="sa-IN"/>
        </w:rPr>
        <w:t xml:space="preserve"> = -4.52 dB</w:t>
      </w:r>
    </w:p>
    <w:p w:rsidR="00ED6FC0" w:rsidRDefault="00ED6FC0" w:rsidP="003C74B3">
      <w:pPr>
        <w:rPr>
          <w:rFonts w:cs="Mangal"/>
          <w:szCs w:val="20"/>
          <w:lang w:val="en-US" w:bidi="sa-IN"/>
        </w:rPr>
      </w:pPr>
      <w:r>
        <w:rPr>
          <w:rFonts w:cs="Mangal"/>
          <w:szCs w:val="20"/>
          <w:lang w:val="en-US" w:bidi="sa-IN"/>
        </w:rPr>
        <w:t>So using this gain margin and the definition of gain margin,</w:t>
      </w:r>
    </w:p>
    <w:p w:rsidR="00ED6FC0" w:rsidRPr="00ED6FC0" w:rsidRDefault="009F1741" w:rsidP="003C74B3">
      <w:pPr>
        <w:rPr>
          <w:rFonts w:cs="Mangal"/>
          <w:szCs w:val="20"/>
          <w:vertAlign w:val="subscript"/>
          <w:lang w:val="en-US" w:bidi="sa-IN"/>
        </w:rPr>
      </w:pPr>
      <m:oMath>
        <m:sSub>
          <m:sSubPr>
            <m:ctrlPr>
              <w:rPr>
                <w:rFonts w:ascii="Cambria Math" w:hAnsi="Cambria Math" w:cs="Mangal"/>
                <w:i/>
                <w:szCs w:val="20"/>
                <w:lang w:val="en-US" w:bidi="sa-IN"/>
              </w:rPr>
            </m:ctrlPr>
          </m:sSubPr>
          <m:e>
            <m:r>
              <w:rPr>
                <w:rFonts w:ascii="Cambria Math" w:hAnsi="Cambria Math" w:cs="Mangal"/>
                <w:szCs w:val="20"/>
                <w:lang w:val="en-US" w:bidi="sa-IN"/>
              </w:rPr>
              <m:t>G</m:t>
            </m:r>
          </m:e>
          <m:sub>
            <m:r>
              <w:rPr>
                <w:rFonts w:ascii="Cambria Math" w:hAnsi="Cambria Math" w:cs="Mangal"/>
                <w:szCs w:val="20"/>
                <w:lang w:val="en-US" w:bidi="sa-IN"/>
              </w:rPr>
              <m:t>M</m:t>
            </m:r>
          </m:sub>
        </m:sSub>
        <m:r>
          <w:rPr>
            <w:rFonts w:ascii="Cambria Math" w:hAnsi="Cambria Math" w:cs="Mangal"/>
            <w:szCs w:val="20"/>
            <w:lang w:val="en-US" w:bidi="sa-IN"/>
          </w:rPr>
          <m:t>=</m:t>
        </m:r>
        <m:r>
          <m:rPr>
            <m:sty m:val="p"/>
          </m:rPr>
          <w:rPr>
            <w:rFonts w:ascii="Cambria Math" w:hAnsi="Cambria Math" w:cs="Mangal"/>
            <w:szCs w:val="20"/>
            <w:lang w:val="en-US" w:bidi="sa-IN"/>
          </w:rPr>
          <m:t>log⁡</m:t>
        </m:r>
        <m:r>
          <w:rPr>
            <w:rFonts w:ascii="Cambria Math" w:hAnsi="Cambria Math" w:cs="Mangal"/>
            <w:szCs w:val="20"/>
            <w:lang w:val="en-US" w:bidi="sa-IN"/>
          </w:rPr>
          <m:t>(</m:t>
        </m:r>
        <m:f>
          <m:fPr>
            <m:ctrlPr>
              <w:rPr>
                <w:rFonts w:ascii="Cambria Math" w:hAnsi="Cambria Math" w:cs="Mangal"/>
                <w:i/>
                <w:szCs w:val="20"/>
                <w:lang w:val="en-US" w:bidi="sa-IN"/>
              </w:rPr>
            </m:ctrlPr>
          </m:fPr>
          <m:num>
            <m:r>
              <w:rPr>
                <w:rFonts w:ascii="Cambria Math" w:hAnsi="Cambria Math" w:cs="Mangal"/>
                <w:szCs w:val="20"/>
                <w:lang w:val="en-US" w:bidi="sa-IN"/>
              </w:rPr>
              <m:t>1</m:t>
            </m:r>
          </m:num>
          <m:den>
            <m:r>
              <w:rPr>
                <w:rFonts w:ascii="Cambria Math" w:hAnsi="Cambria Math" w:cs="Mangal"/>
                <w:szCs w:val="20"/>
                <w:lang w:val="en-US" w:bidi="sa-IN"/>
              </w:rPr>
              <m:t>|</m:t>
            </m:r>
            <m:sSub>
              <m:sSubPr>
                <m:ctrlPr>
                  <w:rPr>
                    <w:rFonts w:ascii="Cambria Math" w:hAnsi="Cambria Math" w:cs="Mangal"/>
                    <w:i/>
                    <w:szCs w:val="20"/>
                    <w:lang w:val="en-US" w:bidi="sa-IN"/>
                  </w:rPr>
                </m:ctrlPr>
              </m:sSubPr>
              <m:e>
                <m:r>
                  <w:rPr>
                    <w:rFonts w:ascii="Cambria Math" w:hAnsi="Cambria Math" w:cs="Mangal"/>
                    <w:szCs w:val="20"/>
                    <w:lang w:val="en-US" w:bidi="sa-IN"/>
                  </w:rPr>
                  <m:t>L</m:t>
                </m:r>
              </m:e>
              <m:sub>
                <m:r>
                  <w:rPr>
                    <w:rFonts w:ascii="Cambria Math" w:hAnsi="Cambria Math" w:cs="Mangal"/>
                    <w:szCs w:val="20"/>
                    <w:lang w:val="en-US" w:bidi="sa-IN"/>
                  </w:rPr>
                  <m:t>G</m:t>
                </m:r>
              </m:sub>
            </m:sSub>
            <m:r>
              <w:rPr>
                <w:rFonts w:ascii="Cambria Math" w:hAnsi="Cambria Math" w:cs="Mangal"/>
                <w:szCs w:val="20"/>
                <w:lang w:val="en-US" w:bidi="sa-IN"/>
              </w:rPr>
              <m:t>|</m:t>
            </m:r>
          </m:den>
        </m:f>
        <m:r>
          <w:rPr>
            <w:rFonts w:ascii="Cambria Math" w:hAnsi="Cambria Math" w:cs="Mangal"/>
            <w:szCs w:val="20"/>
            <w:lang w:val="en-US" w:bidi="sa-IN"/>
          </w:rPr>
          <m:t>)</m:t>
        </m:r>
      </m:oMath>
      <w:r w:rsidR="00ED6FC0">
        <w:rPr>
          <w:rFonts w:cs="Mangal"/>
          <w:szCs w:val="20"/>
          <w:lang w:val="en-US" w:bidi="sa-IN"/>
        </w:rPr>
        <w:t xml:space="preserve">  </w:t>
      </w:r>
      <w:proofErr w:type="gramStart"/>
      <w:r w:rsidR="00ED6FC0">
        <w:rPr>
          <w:rFonts w:cs="Mangal"/>
          <w:szCs w:val="20"/>
          <w:lang w:val="en-US" w:bidi="sa-IN"/>
        </w:rPr>
        <w:t>and</w:t>
      </w:r>
      <w:proofErr w:type="gramEnd"/>
      <w:r w:rsidR="00ED6FC0">
        <w:rPr>
          <w:rFonts w:cs="Mangal"/>
          <w:szCs w:val="20"/>
          <w:lang w:val="en-US" w:bidi="sa-IN"/>
        </w:rPr>
        <w:t xml:space="preserve"> L</w:t>
      </w:r>
      <w:r w:rsidR="00ED6FC0">
        <w:rPr>
          <w:rFonts w:cs="Mangal"/>
          <w:szCs w:val="20"/>
          <w:vertAlign w:val="subscript"/>
          <w:lang w:val="en-US" w:bidi="sa-IN"/>
        </w:rPr>
        <w:t>G</w:t>
      </w:r>
      <w:r w:rsidR="00ED6FC0">
        <w:rPr>
          <w:rFonts w:cs="Mangal"/>
          <w:szCs w:val="20"/>
          <w:lang w:val="en-US" w:bidi="sa-IN"/>
        </w:rPr>
        <w:t xml:space="preserve">  = G</w:t>
      </w:r>
      <w:r w:rsidR="00ED6FC0">
        <w:rPr>
          <w:rFonts w:cs="Mangal"/>
          <w:szCs w:val="20"/>
          <w:vertAlign w:val="subscript"/>
          <w:lang w:val="en-US" w:bidi="sa-IN"/>
        </w:rPr>
        <w:t>C</w:t>
      </w:r>
      <w:r w:rsidR="00ED6FC0">
        <w:rPr>
          <w:rFonts w:cs="Mangal"/>
          <w:szCs w:val="20"/>
          <w:lang w:val="en-US" w:bidi="sa-IN"/>
        </w:rPr>
        <w:t>G</w:t>
      </w:r>
      <w:r w:rsidR="00ED6FC0">
        <w:rPr>
          <w:rFonts w:cs="Mangal"/>
          <w:szCs w:val="20"/>
          <w:vertAlign w:val="subscript"/>
          <w:lang w:val="en-US" w:bidi="sa-IN"/>
        </w:rPr>
        <w:t>P</w:t>
      </w:r>
      <w:r w:rsidR="00ED6FC0">
        <w:rPr>
          <w:rFonts w:cs="Mangal"/>
          <w:szCs w:val="20"/>
          <w:lang w:val="en-US" w:bidi="sa-IN"/>
        </w:rPr>
        <w:t xml:space="preserve"> = K</w:t>
      </w:r>
      <w:r w:rsidR="00ED6FC0">
        <w:rPr>
          <w:rFonts w:cs="Mangal"/>
          <w:szCs w:val="20"/>
          <w:vertAlign w:val="subscript"/>
          <w:lang w:val="en-US" w:bidi="sa-IN"/>
        </w:rPr>
        <w:t>C</w:t>
      </w:r>
      <w:r w:rsidR="00ED6FC0">
        <w:rPr>
          <w:rFonts w:cs="Mangal"/>
          <w:szCs w:val="20"/>
          <w:lang w:val="en-US" w:bidi="sa-IN"/>
        </w:rPr>
        <w:t>*G</w:t>
      </w:r>
      <w:r w:rsidR="00ED6FC0">
        <w:rPr>
          <w:rFonts w:cs="Mangal"/>
          <w:szCs w:val="20"/>
          <w:vertAlign w:val="subscript"/>
          <w:lang w:val="en-US" w:bidi="sa-IN"/>
        </w:rPr>
        <w:t>P</w:t>
      </w:r>
    </w:p>
    <w:p w:rsidR="00ED6FC0" w:rsidRDefault="00ED6FC0" w:rsidP="003C74B3">
      <w:pPr>
        <w:rPr>
          <w:rFonts w:cs="Mangal"/>
          <w:szCs w:val="20"/>
          <w:lang w:val="en-US" w:bidi="sa-IN"/>
        </w:rPr>
      </w:pPr>
      <w:r>
        <w:rPr>
          <w:rFonts w:cs="Mangal"/>
          <w:szCs w:val="20"/>
          <w:lang w:val="en-US" w:bidi="sa-IN"/>
        </w:rPr>
        <w:t>We can get the required K</w:t>
      </w:r>
      <w:r>
        <w:rPr>
          <w:rFonts w:cs="Mangal"/>
          <w:szCs w:val="20"/>
          <w:vertAlign w:val="subscript"/>
          <w:lang w:val="en-US" w:bidi="sa-IN"/>
        </w:rPr>
        <w:t>C</w:t>
      </w:r>
      <w:r>
        <w:rPr>
          <w:rFonts w:cs="Mangal"/>
          <w:szCs w:val="20"/>
          <w:lang w:val="en-US" w:bidi="sa-IN"/>
        </w:rPr>
        <w:t xml:space="preserve"> as </w:t>
      </w:r>
    </w:p>
    <w:p w:rsidR="00ED6FC0" w:rsidRPr="00ED6FC0" w:rsidRDefault="009F1741" w:rsidP="003C74B3">
      <w:pPr>
        <w:rPr>
          <w:rFonts w:eastAsiaTheme="minorEastAsia" w:cs="Mangal"/>
          <w:szCs w:val="20"/>
          <w:lang w:val="en-US" w:bidi="sa-IN"/>
        </w:rPr>
      </w:pPr>
      <m:oMathPara>
        <m:oMath>
          <m:sSub>
            <m:sSubPr>
              <m:ctrlPr>
                <w:rPr>
                  <w:rFonts w:ascii="Cambria Math" w:hAnsi="Cambria Math" w:cs="Mangal"/>
                  <w:i/>
                  <w:szCs w:val="20"/>
                  <w:lang w:val="en-US" w:bidi="sa-IN"/>
                </w:rPr>
              </m:ctrlPr>
            </m:sSubPr>
            <m:e>
              <m:r>
                <w:rPr>
                  <w:rFonts w:ascii="Cambria Math" w:hAnsi="Cambria Math" w:cs="Mangal"/>
                  <w:szCs w:val="20"/>
                  <w:lang w:val="en-US" w:bidi="sa-IN"/>
                </w:rPr>
                <m:t>K</m:t>
              </m:r>
            </m:e>
            <m:sub>
              <m:r>
                <w:rPr>
                  <w:rFonts w:ascii="Cambria Math" w:hAnsi="Cambria Math" w:cs="Mangal"/>
                  <w:szCs w:val="20"/>
                  <w:lang w:val="en-US" w:bidi="sa-IN"/>
                </w:rPr>
                <m:t>C</m:t>
              </m:r>
            </m:sub>
          </m:sSub>
          <m:r>
            <w:rPr>
              <w:rFonts w:ascii="Cambria Math" w:hAnsi="Cambria Math" w:cs="Mangal"/>
              <w:szCs w:val="20"/>
              <w:lang w:val="en-US" w:bidi="sa-IN"/>
            </w:rPr>
            <m:t xml:space="preserve">= </m:t>
          </m:r>
          <m:sSup>
            <m:sSupPr>
              <m:ctrlPr>
                <w:rPr>
                  <w:rFonts w:ascii="Cambria Math" w:hAnsi="Cambria Math" w:cs="Mangal"/>
                  <w:i/>
                  <w:szCs w:val="20"/>
                  <w:lang w:val="en-US" w:bidi="sa-IN"/>
                </w:rPr>
              </m:ctrlPr>
            </m:sSupPr>
            <m:e>
              <m:r>
                <w:rPr>
                  <w:rFonts w:ascii="Cambria Math" w:hAnsi="Cambria Math" w:cs="Mangal"/>
                  <w:szCs w:val="20"/>
                  <w:lang w:val="en-US" w:bidi="sa-IN"/>
                </w:rPr>
                <m:t>10</m:t>
              </m:r>
            </m:e>
            <m:sup>
              <m:f>
                <m:fPr>
                  <m:ctrlPr>
                    <w:rPr>
                      <w:rFonts w:ascii="Cambria Math" w:hAnsi="Cambria Math" w:cs="Mangal"/>
                      <w:i/>
                      <w:szCs w:val="20"/>
                      <w:lang w:val="en-US" w:bidi="sa-IN"/>
                    </w:rPr>
                  </m:ctrlPr>
                </m:fPr>
                <m:num>
                  <m:r>
                    <w:rPr>
                      <w:rFonts w:ascii="Cambria Math" w:hAnsi="Cambria Math" w:cs="Mangal"/>
                      <w:szCs w:val="20"/>
                      <w:lang w:val="en-US" w:bidi="sa-IN"/>
                    </w:rPr>
                    <m:t>(</m:t>
                  </m:r>
                  <m:sSub>
                    <m:sSubPr>
                      <m:ctrlPr>
                        <w:rPr>
                          <w:rFonts w:ascii="Cambria Math" w:hAnsi="Cambria Math" w:cs="Mangal"/>
                          <w:i/>
                          <w:szCs w:val="20"/>
                          <w:lang w:val="en-US" w:bidi="sa-IN"/>
                        </w:rPr>
                      </m:ctrlPr>
                    </m:sSubPr>
                    <m:e>
                      <m:r>
                        <w:rPr>
                          <w:rFonts w:ascii="Cambria Math" w:hAnsi="Cambria Math" w:cs="Mangal"/>
                          <w:szCs w:val="20"/>
                          <w:lang w:val="en-US" w:bidi="sa-IN"/>
                        </w:rPr>
                        <m:t>G</m:t>
                      </m:r>
                    </m:e>
                    <m:sub>
                      <m:r>
                        <w:rPr>
                          <w:rFonts w:ascii="Cambria Math" w:hAnsi="Cambria Math" w:cs="Mangal"/>
                          <w:szCs w:val="20"/>
                          <w:lang w:val="en-US" w:bidi="sa-IN"/>
                        </w:rPr>
                        <m:t>M</m:t>
                      </m:r>
                    </m:sub>
                  </m:sSub>
                  <m:r>
                    <w:rPr>
                      <w:rFonts w:ascii="Cambria Math" w:hAnsi="Cambria Math" w:cs="Mangal"/>
                      <w:szCs w:val="20"/>
                      <w:lang w:val="en-US" w:bidi="sa-IN"/>
                    </w:rPr>
                    <m:t xml:space="preserve">- </m:t>
                  </m:r>
                  <m:sSub>
                    <m:sSubPr>
                      <m:ctrlPr>
                        <w:rPr>
                          <w:rFonts w:ascii="Cambria Math" w:hAnsi="Cambria Math" w:cs="Mangal"/>
                          <w:i/>
                          <w:szCs w:val="20"/>
                          <w:lang w:val="en-US" w:bidi="sa-IN"/>
                        </w:rPr>
                      </m:ctrlPr>
                    </m:sSubPr>
                    <m:e>
                      <m:r>
                        <w:rPr>
                          <w:rFonts w:ascii="Cambria Math" w:hAnsi="Cambria Math" w:cs="Mangal"/>
                          <w:szCs w:val="20"/>
                          <w:lang w:val="en-US" w:bidi="sa-IN"/>
                        </w:rPr>
                        <m:t>G</m:t>
                      </m:r>
                    </m:e>
                    <m:sub>
                      <m:r>
                        <w:rPr>
                          <w:rFonts w:ascii="Cambria Math" w:hAnsi="Cambria Math" w:cs="Mangal"/>
                          <w:szCs w:val="20"/>
                          <w:lang w:val="en-US" w:bidi="sa-IN"/>
                        </w:rPr>
                        <m:t>M,reqd</m:t>
                      </m:r>
                    </m:sub>
                  </m:sSub>
                  <m:r>
                    <w:rPr>
                      <w:rFonts w:ascii="Cambria Math" w:hAnsi="Cambria Math" w:cs="Mangal"/>
                      <w:szCs w:val="20"/>
                      <w:lang w:val="en-US" w:bidi="sa-IN"/>
                    </w:rPr>
                    <m:t>)</m:t>
                  </m:r>
                </m:num>
                <m:den>
                  <m:r>
                    <w:rPr>
                      <w:rFonts w:ascii="Cambria Math" w:hAnsi="Cambria Math" w:cs="Mangal"/>
                      <w:szCs w:val="20"/>
                      <w:lang w:val="en-US" w:bidi="sa-IN"/>
                    </w:rPr>
                    <m:t>20</m:t>
                  </m:r>
                </m:den>
              </m:f>
            </m:sup>
          </m:sSup>
        </m:oMath>
      </m:oMathPara>
    </w:p>
    <w:p w:rsidR="00ED6FC0" w:rsidRDefault="0012473F" w:rsidP="003C74B3">
      <w:pPr>
        <w:rPr>
          <w:rFonts w:eastAsiaTheme="minorEastAsia" w:cs="Mangal"/>
          <w:szCs w:val="20"/>
          <w:lang w:val="en-US" w:bidi="sa-IN"/>
        </w:rPr>
      </w:pPr>
      <w:proofErr w:type="gramStart"/>
      <w:r>
        <w:rPr>
          <w:rFonts w:eastAsiaTheme="minorEastAsia" w:cs="Mangal"/>
          <w:szCs w:val="20"/>
          <w:lang w:val="en-US" w:bidi="sa-IN"/>
        </w:rPr>
        <w:t>w</w:t>
      </w:r>
      <w:r w:rsidR="00ED6FC0">
        <w:rPr>
          <w:rFonts w:eastAsiaTheme="minorEastAsia" w:cs="Mangal"/>
          <w:szCs w:val="20"/>
          <w:lang w:val="en-US" w:bidi="sa-IN"/>
        </w:rPr>
        <w:t>here</w:t>
      </w:r>
      <w:proofErr w:type="gramEnd"/>
      <w:r w:rsidR="00ED6FC0">
        <w:rPr>
          <w:rFonts w:eastAsiaTheme="minorEastAsia" w:cs="Mangal"/>
          <w:szCs w:val="20"/>
          <w:lang w:val="en-US" w:bidi="sa-IN"/>
        </w:rPr>
        <w:t xml:space="preserve"> </w:t>
      </w:r>
      <w:proofErr w:type="spellStart"/>
      <w:r w:rsidR="00ED6FC0">
        <w:rPr>
          <w:rFonts w:eastAsiaTheme="minorEastAsia" w:cs="Mangal"/>
          <w:szCs w:val="20"/>
          <w:lang w:val="en-US" w:bidi="sa-IN"/>
        </w:rPr>
        <w:t>G</w:t>
      </w:r>
      <w:r w:rsidR="00ED6FC0">
        <w:rPr>
          <w:rFonts w:eastAsiaTheme="minorEastAsia" w:cs="Mangal"/>
          <w:szCs w:val="20"/>
          <w:vertAlign w:val="subscript"/>
          <w:lang w:val="en-US" w:bidi="sa-IN"/>
        </w:rPr>
        <w:t>M,required</w:t>
      </w:r>
      <w:proofErr w:type="spellEnd"/>
      <w:r w:rsidR="00ED6FC0">
        <w:rPr>
          <w:rFonts w:eastAsiaTheme="minorEastAsia" w:cs="Mangal"/>
          <w:szCs w:val="20"/>
          <w:lang w:val="en-US" w:bidi="sa-IN"/>
        </w:rPr>
        <w:t xml:space="preserve"> = 8.2 dB</w:t>
      </w:r>
    </w:p>
    <w:p w:rsidR="0012473F" w:rsidRDefault="0012473F" w:rsidP="003C74B3">
      <w:pPr>
        <w:rPr>
          <w:rFonts w:cs="Mangal"/>
          <w:b/>
          <w:bCs/>
          <w:szCs w:val="20"/>
          <w:lang w:val="en-US" w:bidi="sa-IN"/>
        </w:rPr>
      </w:pPr>
      <w:r>
        <w:rPr>
          <w:rFonts w:cs="Mangal"/>
          <w:szCs w:val="20"/>
          <w:lang w:val="en-US" w:bidi="sa-IN"/>
        </w:rPr>
        <w:t>K</w:t>
      </w:r>
      <w:r>
        <w:rPr>
          <w:rFonts w:cs="Mangal"/>
          <w:szCs w:val="20"/>
          <w:vertAlign w:val="subscript"/>
          <w:lang w:val="en-US" w:bidi="sa-IN"/>
        </w:rPr>
        <w:t>C</w:t>
      </w:r>
      <w:r>
        <w:rPr>
          <w:rFonts w:cs="Mangal"/>
          <w:szCs w:val="20"/>
          <w:lang w:val="en-US" w:bidi="sa-IN"/>
        </w:rPr>
        <w:t xml:space="preserve"> was found to be </w:t>
      </w:r>
      <w:r w:rsidRPr="00FF7457">
        <w:rPr>
          <w:rFonts w:cs="Mangal"/>
          <w:b/>
          <w:bCs/>
          <w:szCs w:val="20"/>
          <w:lang w:val="en-US" w:bidi="sa-IN"/>
        </w:rPr>
        <w:t>0.2311</w:t>
      </w:r>
      <w:r>
        <w:rPr>
          <w:rFonts w:cs="Mangal"/>
          <w:szCs w:val="20"/>
          <w:lang w:val="en-US" w:bidi="sa-IN"/>
        </w:rPr>
        <w:t>.</w:t>
      </w:r>
      <w:r w:rsidR="00FF7457">
        <w:rPr>
          <w:rFonts w:cs="Mangal"/>
          <w:szCs w:val="20"/>
          <w:lang w:val="en-US" w:bidi="sa-IN"/>
        </w:rPr>
        <w:t xml:space="preserve"> The corresponding phase margin = </w:t>
      </w:r>
      <w:r w:rsidR="00FF7457">
        <w:rPr>
          <w:rFonts w:cs="Mangal"/>
          <w:b/>
          <w:bCs/>
          <w:szCs w:val="20"/>
          <w:lang w:val="en-US" w:bidi="sa-IN"/>
        </w:rPr>
        <w:t>73.815 degrees</w:t>
      </w:r>
    </w:p>
    <w:p w:rsidR="00FF7457" w:rsidRDefault="00FF7457" w:rsidP="003C74B3">
      <w:pPr>
        <w:rPr>
          <w:rFonts w:cs="Mangal"/>
          <w:b/>
          <w:bCs/>
          <w:szCs w:val="20"/>
          <w:lang w:val="en-US" w:bidi="sa-IN"/>
        </w:rPr>
      </w:pPr>
      <w:r w:rsidRPr="00FF7457">
        <w:rPr>
          <w:rFonts w:cs="Mangal"/>
          <w:b/>
          <w:bCs/>
          <w:noProof/>
          <w:szCs w:val="20"/>
          <w:lang w:eastAsia="en-GB" w:bidi="ta-IN"/>
        </w:rPr>
        <w:lastRenderedPageBreak/>
        <w:drawing>
          <wp:inline distT="0" distB="0" distL="0" distR="0" wp14:anchorId="416BB740" wp14:editId="5F5B2927">
            <wp:extent cx="5168802" cy="273959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696" cy="2741125"/>
                    </a:xfrm>
                    <a:prstGeom prst="rect">
                      <a:avLst/>
                    </a:prstGeom>
                  </pic:spPr>
                </pic:pic>
              </a:graphicData>
            </a:graphic>
          </wp:inline>
        </w:drawing>
      </w:r>
    </w:p>
    <w:p w:rsidR="00FF7457" w:rsidRPr="00FF7457" w:rsidRDefault="00FF7457" w:rsidP="003C74B3">
      <w:pPr>
        <w:rPr>
          <w:rFonts w:cs="Mangal"/>
          <w:i/>
          <w:iCs/>
          <w:szCs w:val="20"/>
          <w:cs/>
          <w:lang w:val="en-US" w:bidi="sa-IN"/>
        </w:rPr>
      </w:pPr>
      <w:r>
        <w:rPr>
          <w:rFonts w:cs="Mangal"/>
          <w:i/>
          <w:iCs/>
          <w:szCs w:val="20"/>
          <w:lang w:val="en-US" w:bidi="sa-IN"/>
        </w:rPr>
        <w:t>Figure 2.2: Margins of the required P-Controller</w:t>
      </w:r>
    </w:p>
    <w:p w:rsidR="00F66419" w:rsidRDefault="00F66419" w:rsidP="00F66419">
      <w:pPr>
        <w:pStyle w:val="Heading2"/>
      </w:pPr>
      <w:r>
        <w:t>Question 2) b)</w:t>
      </w:r>
      <w:r w:rsidR="00F86E11">
        <w:t xml:space="preserve"> Delay uncertainty</w:t>
      </w:r>
    </w:p>
    <w:p w:rsidR="00A54772" w:rsidRDefault="0012473F" w:rsidP="00A54772">
      <w:r>
        <w:t xml:space="preserve">Value </w:t>
      </w:r>
      <w:r w:rsidR="00A43463">
        <w:t xml:space="preserve">of delay </w:t>
      </w:r>
      <w:r w:rsidR="0051393C">
        <w:t>uncertainty</w:t>
      </w:r>
      <w:r w:rsidR="00A43463">
        <w:t xml:space="preserve"> = Phase Margin/gain cross-over frequency</w:t>
      </w:r>
    </w:p>
    <w:p w:rsidR="00A94D73" w:rsidRDefault="00A94D73" w:rsidP="00A54772">
      <w:r>
        <w:t>(</w:t>
      </w:r>
      <w:proofErr w:type="gramStart"/>
      <w:r>
        <w:t>since</w:t>
      </w:r>
      <w:proofErr w:type="gramEnd"/>
      <w:r>
        <w:t>, Phase is directly proportional to –w*Delay)</w:t>
      </w:r>
    </w:p>
    <w:p w:rsidR="0066683D" w:rsidRDefault="0066683D" w:rsidP="00A54772">
      <w:r>
        <w:t xml:space="preserve">Gain cross-over </w:t>
      </w:r>
      <w:proofErr w:type="gramStart"/>
      <w:r>
        <w:t>frequency  =</w:t>
      </w:r>
      <w:proofErr w:type="gramEnd"/>
      <w:r>
        <w:t xml:space="preserve"> 0.2607 rad/s</w:t>
      </w:r>
    </w:p>
    <w:p w:rsidR="00A505FF" w:rsidRPr="009F70E6" w:rsidRDefault="00A94D73" w:rsidP="00A54772">
      <w:pPr>
        <w:rPr>
          <w:b/>
          <w:bCs/>
        </w:rPr>
      </w:pPr>
      <w:r>
        <w:t xml:space="preserve">=&gt; </w:t>
      </w:r>
      <w:r w:rsidRPr="009F70E6">
        <w:rPr>
          <w:b/>
          <w:bCs/>
        </w:rPr>
        <w:t xml:space="preserve">Delay </w:t>
      </w:r>
      <w:proofErr w:type="spellStart"/>
      <w:r w:rsidRPr="009F70E6">
        <w:rPr>
          <w:b/>
          <w:bCs/>
        </w:rPr>
        <w:t>Uncertainity</w:t>
      </w:r>
      <w:proofErr w:type="spellEnd"/>
      <w:r w:rsidRPr="009F70E6">
        <w:rPr>
          <w:b/>
          <w:bCs/>
        </w:rPr>
        <w:t xml:space="preserve"> = 4.942 units</w:t>
      </w:r>
    </w:p>
    <w:p w:rsidR="00F66419" w:rsidRDefault="00F66419" w:rsidP="00F66419">
      <w:pPr>
        <w:pStyle w:val="Heading2"/>
      </w:pPr>
      <w:r>
        <w:t>Question 2) c)</w:t>
      </w:r>
      <w:r w:rsidR="00F86E11">
        <w:t xml:space="preserve"> PI Controller</w:t>
      </w:r>
    </w:p>
    <w:p w:rsidR="006839B9" w:rsidRDefault="006839B9" w:rsidP="006839B9">
      <w:r>
        <w:t xml:space="preserve">Unlike part a), changing </w:t>
      </w:r>
      <w:proofErr w:type="spellStart"/>
      <w:r>
        <w:rPr>
          <w:rFonts w:cstheme="minorHAnsi"/>
        </w:rPr>
        <w:t>τ</w:t>
      </w:r>
      <w:r>
        <w:rPr>
          <w:vertAlign w:val="subscript"/>
        </w:rPr>
        <w:t>I</w:t>
      </w:r>
      <w:proofErr w:type="spellEnd"/>
      <w:r>
        <w:t xml:space="preserve"> changes both magnitude and phase responses of the system. </w:t>
      </w:r>
    </w:p>
    <w:p w:rsidR="006839B9" w:rsidRDefault="006839B9" w:rsidP="006839B9">
      <w:r>
        <w:t xml:space="preserve">So one option is to solve for gain cross over frequency and the controller parameter </w:t>
      </w:r>
      <w:proofErr w:type="spellStart"/>
      <w:r>
        <w:rPr>
          <w:rFonts w:cstheme="minorHAnsi"/>
        </w:rPr>
        <w:t>τ</w:t>
      </w:r>
      <w:r>
        <w:rPr>
          <w:vertAlign w:val="subscript"/>
        </w:rPr>
        <w:t>I</w:t>
      </w:r>
      <w:proofErr w:type="spellEnd"/>
      <w:r>
        <w:t xml:space="preserve"> simultaneously by imposing</w:t>
      </w:r>
    </w:p>
    <w:p w:rsidR="006839B9" w:rsidRDefault="009F1741" w:rsidP="006839B9">
      <w:pPr>
        <w:jc w:val="right"/>
        <w:rPr>
          <w:rFonts w:eastAsiaTheme="minorEastAsia"/>
        </w:rPr>
      </w:pP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jω</m:t>
                </m:r>
              </m:e>
            </m:d>
          </m:e>
        </m:d>
        <m:r>
          <w:rPr>
            <w:rFonts w:ascii="Cambria Math" w:hAnsi="Cambria Math"/>
          </w:rPr>
          <m:t xml:space="preserve">=1 </m:t>
        </m:r>
      </m:oMath>
      <w:r w:rsidR="006839B9">
        <w:rPr>
          <w:rFonts w:eastAsiaTheme="minorEastAsia"/>
        </w:rPr>
        <w:t xml:space="preserve">                                                                                                 (1)</w:t>
      </w:r>
    </w:p>
    <w:p w:rsidR="006839B9" w:rsidRDefault="006839B9" w:rsidP="006839B9">
      <w:pPr>
        <w:jc w:val="right"/>
        <w:rPr>
          <w:rFonts w:eastAsiaTheme="minorEastAsia"/>
        </w:rPr>
      </w:pPr>
      <m:oMath>
        <m:r>
          <w:rPr>
            <w:rFonts w:ascii="Cambria Math" w:hAnsi="Cambria Math"/>
          </w:rPr>
          <m:t>phase</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jω</m:t>
                </m:r>
              </m:e>
            </m:d>
          </m:e>
        </m:d>
        <m:r>
          <w:rPr>
            <w:rFonts w:ascii="Cambria Math" w:hAnsi="Cambria Math"/>
          </w:rPr>
          <m:t>=60</m:t>
        </m:r>
      </m:oMath>
      <w:r>
        <w:rPr>
          <w:rFonts w:eastAsiaTheme="minorEastAsia"/>
        </w:rPr>
        <w:t xml:space="preserve">                                                                                      (2)</w:t>
      </w:r>
    </w:p>
    <w:p w:rsidR="006839B9" w:rsidRPr="006839B9" w:rsidRDefault="006839B9" w:rsidP="006839B9">
      <w:r>
        <w:rPr>
          <w:rFonts w:eastAsiaTheme="minorEastAsia"/>
        </w:rPr>
        <w:t xml:space="preserve">Instead, I used the function ‘margin’ to compute the phase margin for the closed loop system given a </w:t>
      </w:r>
      <w:proofErr w:type="spellStart"/>
      <w:r>
        <w:rPr>
          <w:rFonts w:cstheme="minorHAnsi"/>
        </w:rPr>
        <w:t>τ</w:t>
      </w:r>
      <w:r>
        <w:rPr>
          <w:vertAlign w:val="subscript"/>
        </w:rPr>
        <w:t>I</w:t>
      </w:r>
      <w:proofErr w:type="spellEnd"/>
      <w:r>
        <w:t xml:space="preserve">. This results in simply solving for tau such that phase is 60. </w:t>
      </w:r>
    </w:p>
    <w:p w:rsidR="006839B9" w:rsidRDefault="006839B9" w:rsidP="006839B9">
      <w:pPr>
        <w:rPr>
          <w:rFonts w:eastAsiaTheme="minorEastAsia"/>
        </w:rPr>
      </w:pPr>
      <w:r w:rsidRPr="006839B9">
        <w:rPr>
          <w:rFonts w:eastAsiaTheme="minorEastAsia"/>
          <w:noProof/>
          <w:lang w:eastAsia="en-GB" w:bidi="ta-IN"/>
        </w:rPr>
        <w:drawing>
          <wp:inline distT="0" distB="0" distL="0" distR="0" wp14:anchorId="4A910B59" wp14:editId="2EB165E5">
            <wp:extent cx="3772535" cy="1113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32" t="5769" r="2420" b="2815"/>
                    <a:stretch/>
                  </pic:blipFill>
                  <pic:spPr bwMode="auto">
                    <a:xfrm>
                      <a:off x="0" y="0"/>
                      <a:ext cx="3775725" cy="1114634"/>
                    </a:xfrm>
                    <a:prstGeom prst="rect">
                      <a:avLst/>
                    </a:prstGeom>
                    <a:ln>
                      <a:noFill/>
                    </a:ln>
                    <a:extLst>
                      <a:ext uri="{53640926-AAD7-44D8-BBD7-CCE9431645EC}">
                        <a14:shadowObscured xmlns:a14="http://schemas.microsoft.com/office/drawing/2010/main"/>
                      </a:ext>
                    </a:extLst>
                  </pic:spPr>
                </pic:pic>
              </a:graphicData>
            </a:graphic>
          </wp:inline>
        </w:drawing>
      </w:r>
    </w:p>
    <w:p w:rsidR="006839B9" w:rsidRDefault="006839B9" w:rsidP="006839B9">
      <w:r>
        <w:rPr>
          <w:rFonts w:eastAsiaTheme="minorEastAsia"/>
        </w:rPr>
        <w:t xml:space="preserve">PI controller parameter </w:t>
      </w:r>
      <w:proofErr w:type="spellStart"/>
      <w:r>
        <w:rPr>
          <w:rFonts w:cstheme="minorHAnsi"/>
        </w:rPr>
        <w:t>τ</w:t>
      </w:r>
      <w:r>
        <w:rPr>
          <w:vertAlign w:val="subscript"/>
        </w:rPr>
        <w:t>I</w:t>
      </w:r>
      <w:proofErr w:type="spellEnd"/>
      <w:r>
        <w:rPr>
          <w:vertAlign w:val="subscript"/>
        </w:rPr>
        <w:t xml:space="preserve"> </w:t>
      </w:r>
      <w:r>
        <w:t xml:space="preserve">was found to be </w:t>
      </w:r>
      <w:r w:rsidRPr="006839B9">
        <w:rPr>
          <w:b/>
          <w:bCs/>
        </w:rPr>
        <w:t>17.8327</w:t>
      </w:r>
      <w:r>
        <w:rPr>
          <w:b/>
          <w:bCs/>
        </w:rPr>
        <w:t xml:space="preserve"> </w:t>
      </w:r>
      <w:r w:rsidRPr="006839B9">
        <w:t>units</w:t>
      </w:r>
    </w:p>
    <w:p w:rsidR="00F86E11" w:rsidRDefault="00F86E11" w:rsidP="006839B9">
      <w:pPr>
        <w:rPr>
          <w:b/>
          <w:bCs/>
        </w:rPr>
      </w:pPr>
      <w:r>
        <w:t xml:space="preserve">The Gain margin was found </w:t>
      </w:r>
      <w:proofErr w:type="spellStart"/>
      <w:r>
        <w:t>be</w:t>
      </w:r>
      <w:proofErr w:type="spellEnd"/>
      <w:r>
        <w:t xml:space="preserve"> </w:t>
      </w:r>
      <w:r w:rsidR="00376BEF">
        <w:rPr>
          <w:b/>
          <w:bCs/>
        </w:rPr>
        <w:t>7.46 dB</w:t>
      </w:r>
    </w:p>
    <w:p w:rsidR="00090297" w:rsidRDefault="00090297" w:rsidP="006839B9">
      <w:pPr>
        <w:rPr>
          <w:b/>
          <w:bCs/>
        </w:rPr>
      </w:pPr>
      <w:r w:rsidRPr="00090297">
        <w:rPr>
          <w:b/>
          <w:bCs/>
          <w:noProof/>
          <w:lang w:eastAsia="en-GB" w:bidi="ta-IN"/>
        </w:rPr>
        <w:lastRenderedPageBreak/>
        <w:drawing>
          <wp:inline distT="0" distB="0" distL="0" distR="0" wp14:anchorId="2F13C90B" wp14:editId="1BBD03C8">
            <wp:extent cx="5731510" cy="30187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18790"/>
                    </a:xfrm>
                    <a:prstGeom prst="rect">
                      <a:avLst/>
                    </a:prstGeom>
                  </pic:spPr>
                </pic:pic>
              </a:graphicData>
            </a:graphic>
          </wp:inline>
        </w:drawing>
      </w:r>
    </w:p>
    <w:p w:rsidR="00090297" w:rsidRPr="00090297" w:rsidRDefault="00090297" w:rsidP="006839B9">
      <w:pPr>
        <w:rPr>
          <w:i/>
          <w:iCs/>
        </w:rPr>
      </w:pPr>
      <w:r>
        <w:rPr>
          <w:i/>
          <w:iCs/>
        </w:rPr>
        <w:t>Figure 2.3: Bode diagram for the closed loop system with the PI controller</w:t>
      </w:r>
    </w:p>
    <w:p w:rsidR="00F86E11" w:rsidRPr="006839B9" w:rsidRDefault="00F86E11" w:rsidP="006839B9">
      <w:pPr>
        <w:rPr>
          <w:rFonts w:eastAsiaTheme="minorEastAsia"/>
        </w:rPr>
      </w:pPr>
    </w:p>
    <w:p w:rsidR="00F66419" w:rsidRDefault="00F66419" w:rsidP="00F86E11">
      <w:pPr>
        <w:pStyle w:val="Heading2"/>
        <w:tabs>
          <w:tab w:val="left" w:pos="2714"/>
        </w:tabs>
      </w:pPr>
      <w:r>
        <w:t>Question 2) d)</w:t>
      </w:r>
      <w:r w:rsidR="00F86E11">
        <w:t xml:space="preserve"> Verifying </w:t>
      </w:r>
      <w:proofErr w:type="spellStart"/>
      <w:r w:rsidR="00F86E11">
        <w:t>Bode’s</w:t>
      </w:r>
      <w:proofErr w:type="spellEnd"/>
      <w:r w:rsidR="00F86E11">
        <w:t xml:space="preserve"> </w:t>
      </w:r>
      <w:proofErr w:type="spellStart"/>
      <w:r w:rsidR="00F86E11">
        <w:t>Senstitivity</w:t>
      </w:r>
      <w:proofErr w:type="spellEnd"/>
      <w:r w:rsidR="00F86E11">
        <w:t xml:space="preserve"> Integral</w:t>
      </w:r>
    </w:p>
    <w:p w:rsidR="00F86E11" w:rsidRPr="00F86E11" w:rsidRDefault="009F1741" w:rsidP="00F86E11">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d>
                        <m:dPr>
                          <m:ctrlPr>
                            <w:rPr>
                              <w:rFonts w:ascii="Cambria Math" w:hAnsi="Cambria Math"/>
                              <w:i/>
                            </w:rPr>
                          </m:ctrlPr>
                        </m:dPr>
                        <m:e>
                          <m:r>
                            <w:rPr>
                              <w:rFonts w:ascii="Cambria Math" w:hAnsi="Cambria Math"/>
                            </w:rPr>
                            <m:t>jω</m:t>
                          </m:r>
                        </m:e>
                      </m:d>
                    </m:e>
                  </m:d>
                  <m:r>
                    <w:rPr>
                      <w:rFonts w:ascii="Cambria Math" w:hAnsi="Cambria Math"/>
                    </w:rPr>
                    <m:t>dω</m:t>
                  </m:r>
                </m:e>
              </m:func>
            </m:e>
          </m:nary>
          <m:r>
            <w:rPr>
              <w:rFonts w:ascii="Cambria Math" w:hAnsi="Cambria Math"/>
            </w:rPr>
            <m:t>=0</m:t>
          </m:r>
        </m:oMath>
      </m:oMathPara>
    </w:p>
    <w:p w:rsidR="00F86E11" w:rsidRPr="00F86E11" w:rsidRDefault="00F86E11" w:rsidP="00F66419">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O</m:t>
            </m:r>
          </m:sub>
        </m:sSub>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1+Gp</m:t>
            </m:r>
            <m:d>
              <m:dPr>
                <m:ctrlPr>
                  <w:rPr>
                    <w:rFonts w:ascii="Cambria Math" w:hAnsi="Cambria Math"/>
                    <w:i/>
                  </w:rPr>
                </m:ctrlPr>
              </m:dPr>
              <m:e>
                <m:r>
                  <w:rPr>
                    <w:rFonts w:ascii="Cambria Math" w:hAnsi="Cambria Math"/>
                  </w:rPr>
                  <m:t>jω</m:t>
                </m:r>
              </m:e>
            </m:d>
            <m:r>
              <w:rPr>
                <w:rFonts w:ascii="Cambria Math" w:hAnsi="Cambria Math"/>
              </w:rPr>
              <m:t>Gc</m:t>
            </m:r>
            <m:d>
              <m:dPr>
                <m:ctrlPr>
                  <w:rPr>
                    <w:rFonts w:ascii="Cambria Math" w:hAnsi="Cambria Math"/>
                    <w:i/>
                  </w:rPr>
                </m:ctrlPr>
              </m:dPr>
              <m:e>
                <m:r>
                  <w:rPr>
                    <w:rFonts w:ascii="Cambria Math" w:hAnsi="Cambria Math"/>
                  </w:rPr>
                  <m:t>jω</m:t>
                </m:r>
              </m:e>
            </m:d>
          </m:den>
        </m:f>
      </m:oMath>
    </w:p>
    <w:p w:rsidR="00F66419" w:rsidRDefault="00F86E11" w:rsidP="00F66419">
      <w:r>
        <w:t>The above integral is verified using the following script:</w:t>
      </w:r>
    </w:p>
    <w:p w:rsidR="00F86E11" w:rsidRDefault="00F86E11" w:rsidP="00F66419">
      <w:r w:rsidRPr="00F86E11">
        <w:rPr>
          <w:noProof/>
          <w:lang w:eastAsia="en-GB" w:bidi="ta-IN"/>
        </w:rPr>
        <w:drawing>
          <wp:inline distT="0" distB="0" distL="0" distR="0" wp14:anchorId="5D6CD2CB" wp14:editId="59174017">
            <wp:extent cx="4149969" cy="114531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236" cy="1153940"/>
                    </a:xfrm>
                    <a:prstGeom prst="rect">
                      <a:avLst/>
                    </a:prstGeom>
                  </pic:spPr>
                </pic:pic>
              </a:graphicData>
            </a:graphic>
          </wp:inline>
        </w:drawing>
      </w:r>
    </w:p>
    <w:p w:rsidR="00310055" w:rsidRDefault="00310055" w:rsidP="00F66419">
      <w:r w:rsidRPr="00310055">
        <w:rPr>
          <w:noProof/>
          <w:lang w:eastAsia="en-GB" w:bidi="ta-IN"/>
        </w:rPr>
        <w:drawing>
          <wp:inline distT="0" distB="0" distL="0" distR="0" wp14:anchorId="0640FE65" wp14:editId="0E20F662">
            <wp:extent cx="4130398" cy="59441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0398" cy="594412"/>
                    </a:xfrm>
                    <a:prstGeom prst="rect">
                      <a:avLst/>
                    </a:prstGeom>
                  </pic:spPr>
                </pic:pic>
              </a:graphicData>
            </a:graphic>
          </wp:inline>
        </w:drawing>
      </w:r>
    </w:p>
    <w:p w:rsidR="00310055" w:rsidRDefault="00310055" w:rsidP="00F66419">
      <w:r>
        <w:t>Since it is numerical integration, I replaced infinity with a high value instead. Higher the value, closer it gets to zero</w:t>
      </w:r>
      <w:r w:rsidR="003421D9">
        <w:t>. But for too high values</w:t>
      </w:r>
      <w:r w:rsidR="009F1741">
        <w:t xml:space="preserve"> </w:t>
      </w:r>
      <w:r w:rsidR="00832A48">
        <w:t>(</w:t>
      </w:r>
      <w:r w:rsidR="009F1741">
        <w:t>even 10</w:t>
      </w:r>
      <w:r w:rsidR="00832A48" w:rsidRPr="009F1741">
        <w:rPr>
          <w:vertAlign w:val="superscript"/>
        </w:rPr>
        <w:t>5</w:t>
      </w:r>
      <w:r w:rsidR="00832A48">
        <w:t>)</w:t>
      </w:r>
      <w:r w:rsidR="003421D9">
        <w:t xml:space="preserve">, MATLAB shows up </w:t>
      </w:r>
      <w:r w:rsidR="00832A48">
        <w:t>a warning</w:t>
      </w:r>
      <w:r w:rsidR="003421D9">
        <w:t xml:space="preserve"> where the error</w:t>
      </w:r>
      <w:r w:rsidR="00832A48">
        <w:t xml:space="preserve"> in the estimate</w:t>
      </w:r>
      <w:r w:rsidR="003421D9">
        <w:t xml:space="preserve"> is greater than the order of the computed v</w:t>
      </w:r>
      <w:r w:rsidR="009F1741">
        <w:t>alue, so I am restricting to 10</w:t>
      </w:r>
      <w:r w:rsidR="003421D9" w:rsidRPr="009F1741">
        <w:rPr>
          <w:vertAlign w:val="superscript"/>
        </w:rPr>
        <w:t>4</w:t>
      </w:r>
      <w:bookmarkStart w:id="0" w:name="_GoBack"/>
      <w:bookmarkEnd w:id="0"/>
    </w:p>
    <w:p w:rsidR="00310055" w:rsidRDefault="00310055" w:rsidP="00310055">
      <w:r>
        <w:t xml:space="preserve">The integral turns out to be, </w:t>
      </w:r>
      <w:proofErr w:type="spellStart"/>
      <w:r>
        <w:t>int_val</w:t>
      </w:r>
      <w:proofErr w:type="spellEnd"/>
      <w:r>
        <w:t xml:space="preserve"> =   -1.8790e-06 which is sufficiently close to 0!</w:t>
      </w:r>
    </w:p>
    <w:p w:rsidR="00310055" w:rsidRPr="00F66419" w:rsidRDefault="00310055" w:rsidP="00310055">
      <w:r>
        <w:t xml:space="preserve">Thus, the </w:t>
      </w:r>
      <w:proofErr w:type="spellStart"/>
      <w:r>
        <w:t>Bode’s</w:t>
      </w:r>
      <w:proofErr w:type="spellEnd"/>
      <w:r>
        <w:t xml:space="preserve"> sensitivity integral holds!</w:t>
      </w:r>
    </w:p>
    <w:p w:rsidR="00F66419" w:rsidRPr="00F66419" w:rsidRDefault="00F66419" w:rsidP="00F66419"/>
    <w:p w:rsidR="00F66419" w:rsidRDefault="00F66419" w:rsidP="00F66419"/>
    <w:p w:rsidR="006C73B3" w:rsidRPr="00F66419" w:rsidRDefault="006C73B3" w:rsidP="00F66419"/>
    <w:sectPr w:rsidR="006C73B3" w:rsidRPr="00F66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6331"/>
    <w:multiLevelType w:val="hybridMultilevel"/>
    <w:tmpl w:val="8D3CD4C2"/>
    <w:lvl w:ilvl="0" w:tplc="7ADCB3A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FB"/>
    <w:rsid w:val="00090297"/>
    <w:rsid w:val="0012473F"/>
    <w:rsid w:val="001A52A7"/>
    <w:rsid w:val="002651D8"/>
    <w:rsid w:val="00293FB3"/>
    <w:rsid w:val="002A0FD0"/>
    <w:rsid w:val="00310055"/>
    <w:rsid w:val="003421D9"/>
    <w:rsid w:val="00376BEF"/>
    <w:rsid w:val="003C74B3"/>
    <w:rsid w:val="0051393C"/>
    <w:rsid w:val="005B0570"/>
    <w:rsid w:val="00654C14"/>
    <w:rsid w:val="0066683D"/>
    <w:rsid w:val="006839B9"/>
    <w:rsid w:val="006A27F4"/>
    <w:rsid w:val="006C73B3"/>
    <w:rsid w:val="00763CFB"/>
    <w:rsid w:val="00795D4A"/>
    <w:rsid w:val="007E4B87"/>
    <w:rsid w:val="00832A48"/>
    <w:rsid w:val="008349EF"/>
    <w:rsid w:val="008F6D56"/>
    <w:rsid w:val="009C5535"/>
    <w:rsid w:val="009F1741"/>
    <w:rsid w:val="009F70E6"/>
    <w:rsid w:val="00A43463"/>
    <w:rsid w:val="00A505FF"/>
    <w:rsid w:val="00A54772"/>
    <w:rsid w:val="00A94D73"/>
    <w:rsid w:val="00B06057"/>
    <w:rsid w:val="00B357D0"/>
    <w:rsid w:val="00C540D0"/>
    <w:rsid w:val="00CB0FE7"/>
    <w:rsid w:val="00CB4049"/>
    <w:rsid w:val="00D24B35"/>
    <w:rsid w:val="00DD39C1"/>
    <w:rsid w:val="00ED6FC0"/>
    <w:rsid w:val="00EE563F"/>
    <w:rsid w:val="00EF6A9C"/>
    <w:rsid w:val="00F66419"/>
    <w:rsid w:val="00F86E11"/>
    <w:rsid w:val="00FF745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8EB4E-4AEF-4D33-AD2B-A8C0F688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5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057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D6FC0"/>
    <w:rPr>
      <w:color w:val="808080"/>
    </w:rPr>
  </w:style>
  <w:style w:type="paragraph" w:styleId="ListParagraph">
    <w:name w:val="List Paragraph"/>
    <w:basedOn w:val="Normal"/>
    <w:uiPriority w:val="34"/>
    <w:qFormat/>
    <w:rsid w:val="00A94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BDE13-F13E-46A4-9643-8A8605DC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58</cp:revision>
  <dcterms:created xsi:type="dcterms:W3CDTF">2021-05-08T14:34:00Z</dcterms:created>
  <dcterms:modified xsi:type="dcterms:W3CDTF">2021-05-09T04:13:00Z</dcterms:modified>
</cp:coreProperties>
</file>