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Министерство образования Московской области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образования Московской области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«Государственный гуманитарно-технологический университет»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Ликино-Дулевский политехнический колледж – филиал ГГТУ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ИТОГОВЫЙ ВАРИАТИРВНЫЙ ПРОЕКТ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FFFFF"/>
        </w:rPr>
        <w:t>ТЕМА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МДК 11.01 «Технология разработки программного обеспечения»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Выполнила:</w:t>
      </w:r>
    </w:p>
    <w:p>
      <w:pPr>
        <w:wordWrap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Глазкова Анастасия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  <w:t xml:space="preserve"> Евгеньевна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Студентка группы ИСП.20А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09.02.07 (Информационные системы и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программирование)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________________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_____________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Ликино-Дулево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 год</w:t>
      </w:r>
    </w:p>
    <w:p>
      <w:p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2"/>
          <w:szCs w:val="22"/>
          <w:lang w:eastAsia="en-US"/>
        </w:rPr>
        <w:id w:val="-6453534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3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>
          <w:pPr>
            <w:pStyle w:val="7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"_Toc100395597"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_Toc100395597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"_Toc100395598"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1.1.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CASE</w:t>
          </w:r>
          <w:r>
            <w:rPr>
              <w:rStyle w:val="5"/>
              <w:rFonts w:ascii="Times New Roman" w:hAnsi="Times New Roman" w:cs="Times New Roman"/>
              <w:b/>
            </w:rPr>
            <w:t xml:space="preserve"> – технология </w:t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UML</w:t>
          </w:r>
          <w:r>
            <w:rPr>
              <w:rStyle w:val="5"/>
              <w:rFonts w:ascii="Times New Roman" w:hAnsi="Times New Roman" w:cs="Times New Roman"/>
              <w:b/>
            </w:rPr>
            <w:t xml:space="preserve"> (диаграмма-прецедентов) по варианту</w:t>
          </w:r>
          <w:r>
            <w:tab/>
          </w:r>
          <w:r>
            <w:fldChar w:fldCharType="begin"/>
          </w:r>
          <w:r>
            <w:instrText xml:space="preserve"> PAGEREF _Toc100395598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"_Toc100395599"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Этап проектирования.</w:t>
          </w:r>
          <w:r>
            <w:tab/>
          </w:r>
          <w:r>
            <w:fldChar w:fldCharType="begin"/>
          </w:r>
          <w:r>
            <w:instrText xml:space="preserve"> PAGEREF _Toc100395599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"_Toc100395600"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CASE</w:t>
          </w:r>
          <w:r>
            <w:rPr>
              <w:rStyle w:val="5"/>
              <w:rFonts w:ascii="Times New Roman" w:hAnsi="Times New Roman" w:cs="Times New Roman"/>
              <w:b/>
            </w:rPr>
            <w:t xml:space="preserve"> – технология </w:t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UML</w:t>
          </w:r>
          <w:r>
            <w:rPr>
              <w:rStyle w:val="5"/>
              <w:rFonts w:ascii="Times New Roman" w:hAnsi="Times New Roman" w:cs="Times New Roman"/>
              <w:b/>
            </w:rPr>
            <w:t xml:space="preserve"> (диаграмма-прецедентов) по своей БД</w:t>
          </w:r>
          <w:r>
            <w:tab/>
          </w:r>
          <w:r>
            <w:fldChar w:fldCharType="begin"/>
          </w:r>
          <w:r>
            <w:instrText xml:space="preserve"> PAGEREF _Toc100395600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"_Toc100395601"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ER</w:t>
          </w:r>
          <w:r>
            <w:rPr>
              <w:rStyle w:val="5"/>
              <w:rFonts w:ascii="Times New Roman" w:hAnsi="Times New Roman" w:cs="Times New Roman"/>
              <w:b/>
            </w:rPr>
            <w:t xml:space="preserve"> – диаграмма</w:t>
          </w:r>
          <w:r>
            <w:tab/>
          </w:r>
          <w:r>
            <w:fldChar w:fldCharType="begin"/>
          </w:r>
          <w:r>
            <w:instrText xml:space="preserve"> PAGEREF _Toc100395601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"_Toc100395602"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Структурный анализ</w:t>
          </w:r>
          <w:r>
            <w:tab/>
          </w:r>
          <w:r>
            <w:fldChar w:fldCharType="begin"/>
          </w:r>
          <w:r>
            <w:instrText xml:space="preserve"> PAGEREF _Toc100395602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"_Toc100395603"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2.4.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CASE</w:t>
          </w:r>
          <w:r>
            <w:rPr>
              <w:rStyle w:val="5"/>
              <w:rFonts w:ascii="Times New Roman" w:hAnsi="Times New Roman" w:cs="Times New Roman"/>
              <w:b/>
            </w:rPr>
            <w:t xml:space="preserve"> – технология </w:t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IDEF(), IDEF(3), DFD</w:t>
          </w:r>
          <w:r>
            <w:tab/>
          </w:r>
          <w:r>
            <w:fldChar w:fldCharType="begin"/>
          </w:r>
          <w:r>
            <w:instrText xml:space="preserve"> PAGEREF _Toc100395603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"_Toc100395604"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2.4.1.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Контекстная диаграмма</w:t>
          </w:r>
          <w:r>
            <w:tab/>
          </w:r>
          <w:r>
            <w:fldChar w:fldCharType="begin"/>
          </w:r>
          <w:r>
            <w:instrText xml:space="preserve"> PAGEREF _Toc100395604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"_Toc100395605"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2.4.2.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Декомпозиция (детализация)</w:t>
          </w:r>
          <w:r>
            <w:tab/>
          </w:r>
          <w:r>
            <w:fldChar w:fldCharType="begin"/>
          </w:r>
          <w:r>
            <w:instrText xml:space="preserve"> PAGEREF _Toc100395605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32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"_Toc100395606"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2.4.3.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Хранилище данных</w:t>
          </w:r>
          <w:r>
            <w:tab/>
          </w:r>
          <w:r>
            <w:fldChar w:fldCharType="begin"/>
          </w:r>
          <w:r>
            <w:instrText xml:space="preserve"> PAGEREF _Toc100395606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"_Toc100395607"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3.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Этап разработки</w:t>
          </w:r>
          <w:r>
            <w:tab/>
          </w:r>
          <w:r>
            <w:fldChar w:fldCharType="begin"/>
          </w:r>
          <w:r>
            <w:instrText xml:space="preserve"> PAGEREF _Toc100395607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"_Toc100395608"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3.4.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Нормализация данных (1, 2, 3 НФ)</w:t>
          </w:r>
          <w:r>
            <w:tab/>
          </w:r>
          <w:r>
            <w:fldChar w:fldCharType="begin"/>
          </w:r>
          <w:r>
            <w:instrText xml:space="preserve"> PAGEREF _Toc100395608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"_Toc100395609"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3.5.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Схема реляционной модели</w:t>
          </w:r>
          <w:r>
            <w:tab/>
          </w:r>
          <w:r>
            <w:fldChar w:fldCharType="begin"/>
          </w:r>
          <w:r>
            <w:instrText xml:space="preserve"> PAGEREF _Toc100395609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4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"_Toc100395610"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4.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>Реализация запросов</w:t>
          </w:r>
          <w:r>
            <w:tab/>
          </w:r>
          <w:r>
            <w:fldChar w:fldCharType="begin"/>
          </w:r>
          <w:r>
            <w:instrText xml:space="preserve"> PAGEREF _Toc100395610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80"/>
              <w:tab w:val="right" w:leader="dot" w:pos="9345"/>
            </w:tabs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HYPERLINK \l "_Toc100395611" </w:instrText>
          </w:r>
          <w:r>
            <w:fldChar w:fldCharType="separate"/>
          </w:r>
          <w:r>
            <w:rPr>
              <w:rStyle w:val="5"/>
              <w:rFonts w:ascii="Times New Roman" w:hAnsi="Times New Roman" w:cs="Times New Roman"/>
              <w:b/>
            </w:rPr>
            <w:t>4.4.</w:t>
          </w:r>
          <w:r>
            <w:rPr>
              <w:rFonts w:eastAsiaTheme="minorEastAsia"/>
              <w:lang w:eastAsia="ru-RU"/>
            </w:rPr>
            <w:tab/>
          </w:r>
          <w:r>
            <w:rPr>
              <w:rStyle w:val="5"/>
              <w:rFonts w:ascii="Times New Roman" w:hAnsi="Times New Roman" w:cs="Times New Roman"/>
              <w:b/>
            </w:rPr>
            <w:t xml:space="preserve">Постановка запроса, запись в </w:t>
          </w:r>
          <w:r>
            <w:rPr>
              <w:rStyle w:val="5"/>
              <w:rFonts w:ascii="Times New Roman" w:hAnsi="Times New Roman" w:cs="Times New Roman"/>
              <w:b/>
              <w:lang w:val="en-US"/>
            </w:rPr>
            <w:t>SQL</w:t>
          </w:r>
          <w:r>
            <w:rPr>
              <w:rStyle w:val="5"/>
              <w:rFonts w:ascii="Times New Roman" w:hAnsi="Times New Roman" w:cs="Times New Roman"/>
              <w:b/>
            </w:rPr>
            <w:t>, таблица с результата</w:t>
          </w:r>
          <w:r>
            <w:tab/>
          </w:r>
          <w:r>
            <w:fldChar w:fldCharType="begin"/>
          </w:r>
          <w:r>
            <w:instrText xml:space="preserve"> PAGEREF _Toc100395611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Style w:val="11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pStyle w:val="11"/>
        <w:numPr>
          <w:ilvl w:val="0"/>
          <w:numId w:val="1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00395597"/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0"/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Моделирование бизнес-процессов рекламного агентства Основными процессами в рекламном агентстве являются: рассмотрение заявок, обработка заказов, подготовка к выпуску и выпуск рекламной продукции. Рекламное агентство в своей работе использует систему антиплагиата и руководствуется текущим законодательством. Агентство занимается изготовлением щитов, баннеров, рекламных буклетов и продвижением в социальных сетях. 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Продукция проходит контроль качества. Необходимо спроектировать бизнес-процессы заданной предметной области</w:t>
      </w: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sz w:val="22"/>
          <w:szCs w:val="22"/>
        </w:rPr>
      </w:pPr>
    </w:p>
    <w:p>
      <w:pPr>
        <w:pStyle w:val="11"/>
        <w:numPr>
          <w:ilvl w:val="1"/>
          <w:numId w:val="1"/>
        </w:numPr>
        <w:spacing w:line="360" w:lineRule="auto"/>
        <w:jc w:val="left"/>
        <w:outlineLvl w:val="1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bookmarkStart w:id="1" w:name="_Toc100395598"/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 по варианту</w:t>
      </w:r>
      <w:bookmarkEnd w:id="1"/>
    </w:p>
    <w:p>
      <w:pPr>
        <w:pStyle w:val="11"/>
        <w:spacing w:line="360" w:lineRule="auto"/>
        <w:ind w:left="0" w:leftChars="0" w:firstLine="0" w:firstLineChars="0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                  </w:t>
      </w: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4096385" cy="381825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numPr>
          <w:ilvl w:val="0"/>
          <w:numId w:val="1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00395599"/>
      <w:r>
        <w:rPr>
          <w:rFonts w:ascii="Times New Roman" w:hAnsi="Times New Roman" w:cs="Times New Roman"/>
          <w:b/>
          <w:sz w:val="28"/>
          <w:szCs w:val="28"/>
        </w:rPr>
        <w:t>Этап проектирования.</w:t>
      </w:r>
      <w:bookmarkEnd w:id="2"/>
    </w:p>
    <w:p>
      <w:pPr>
        <w:pStyle w:val="11"/>
        <w:numPr>
          <w:ilvl w:val="1"/>
          <w:numId w:val="1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00395600"/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(диаграмма-прецедентов) по своей БД</w:t>
      </w:r>
      <w:bookmarkEnd w:id="3"/>
    </w:p>
    <w:p>
      <w:pPr>
        <w:pStyle w:val="11"/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431790" cy="2556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272" cy="25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1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" w:name="_Toc100395601"/>
      <w:r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диаграмма</w:t>
      </w:r>
      <w:bookmarkEnd w:id="4"/>
    </w:p>
    <w:p>
      <w:pPr>
        <w:pStyle w:val="11"/>
        <w:numPr>
          <w:numId w:val="0"/>
        </w:numPr>
        <w:spacing w:line="360" w:lineRule="auto"/>
        <w:ind w:left="720" w:leftChars="0"/>
        <w:jc w:val="left"/>
        <w:outlineLvl w:val="1"/>
      </w:pPr>
      <w:r>
        <w:drawing>
          <wp:inline distT="0" distB="0" distL="114300" distR="114300">
            <wp:extent cx="4739005" cy="4392930"/>
            <wp:effectExtent l="0" t="0" r="635" b="1143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="720" w:leftChars="0"/>
        <w:jc w:val="left"/>
        <w:outlineLvl w:val="1"/>
      </w:pPr>
    </w:p>
    <w:p>
      <w:pPr>
        <w:pStyle w:val="11"/>
        <w:numPr>
          <w:numId w:val="0"/>
        </w:numPr>
        <w:spacing w:line="360" w:lineRule="auto"/>
        <w:ind w:left="720" w:leftChars="0"/>
        <w:jc w:val="left"/>
        <w:outlineLvl w:val="1"/>
      </w:pPr>
    </w:p>
    <w:p>
      <w:pPr>
        <w:pStyle w:val="11"/>
        <w:numPr>
          <w:numId w:val="0"/>
        </w:numPr>
        <w:spacing w:line="360" w:lineRule="auto"/>
        <w:ind w:left="720" w:leftChars="0"/>
        <w:jc w:val="left"/>
        <w:outlineLvl w:val="1"/>
      </w:pPr>
    </w:p>
    <w:p>
      <w:pPr>
        <w:pStyle w:val="11"/>
        <w:numPr>
          <w:ilvl w:val="1"/>
          <w:numId w:val="1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00395602"/>
      <w:r>
        <w:rPr>
          <w:rFonts w:ascii="Times New Roman" w:hAnsi="Times New Roman" w:cs="Times New Roman"/>
          <w:b/>
          <w:sz w:val="28"/>
          <w:szCs w:val="28"/>
        </w:rPr>
        <w:t>Структурный анализ</w:t>
      </w:r>
      <w:bookmarkEnd w:id="5"/>
    </w:p>
    <w:p>
      <w:pPr>
        <w:pStyle w:val="11"/>
        <w:numPr>
          <w:ilvl w:val="1"/>
          <w:numId w:val="1"/>
        </w:numPr>
        <w:spacing w:line="360" w:lineRule="auto"/>
        <w:ind w:left="1440" w:leftChars="0" w:hanging="560" w:firstLineChars="0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00395603"/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– 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IDEF(), IDEF(3), DFD</w:t>
      </w:r>
      <w:bookmarkEnd w:id="6"/>
    </w:p>
    <w:p>
      <w:pPr>
        <w:pStyle w:val="11"/>
        <w:numPr>
          <w:ilvl w:val="2"/>
          <w:numId w:val="2"/>
        </w:numPr>
        <w:tabs>
          <w:tab w:val="left" w:pos="2420"/>
        </w:tabs>
        <w:spacing w:line="360" w:lineRule="auto"/>
        <w:ind w:left="2860" w:leftChars="0" w:hanging="1320"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7" w:name="_Toc100395604"/>
      <w:r>
        <w:rPr>
          <w:rFonts w:ascii="Times New Roman" w:hAnsi="Times New Roman" w:cs="Times New Roman"/>
          <w:b/>
          <w:sz w:val="28"/>
          <w:szCs w:val="28"/>
        </w:rPr>
        <w:t>Контекстная диаграмма</w:t>
      </w:r>
      <w:bookmarkEnd w:id="7"/>
    </w:p>
    <w:p>
      <w:pPr>
        <w:pStyle w:val="11"/>
        <w:numPr>
          <w:numId w:val="0"/>
        </w:numPr>
        <w:tabs>
          <w:tab w:val="left" w:pos="1760"/>
        </w:tabs>
        <w:spacing w:line="360" w:lineRule="auto"/>
        <w:ind w:left="2638" w:leftChars="584" w:hanging="1353" w:hangingChars="615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3865245" cy="3356610"/>
            <wp:effectExtent l="0" t="0" r="5715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numPr>
          <w:ilvl w:val="2"/>
          <w:numId w:val="2"/>
        </w:numPr>
        <w:spacing w:line="360" w:lineRule="auto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8" w:name="_Toc100395605"/>
      <w:r>
        <w:rPr>
          <w:rFonts w:ascii="Times New Roman" w:hAnsi="Times New Roman" w:cs="Times New Roman"/>
          <w:b/>
          <w:sz w:val="28"/>
          <w:szCs w:val="28"/>
        </w:rPr>
        <w:t>Декомпозиция (детализация)</w:t>
      </w:r>
      <w:bookmarkEnd w:id="8"/>
    </w:p>
    <w:p>
      <w:pPr>
        <w:pStyle w:val="11"/>
        <w:numPr>
          <w:numId w:val="0"/>
        </w:numPr>
        <w:spacing w:line="360" w:lineRule="auto"/>
        <w:ind w:left="220" w:leftChars="0" w:right="774" w:rightChars="352" w:firstLine="0" w:firstLine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5939155" cy="3916045"/>
            <wp:effectExtent l="0" t="0" r="4445" b="63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60" w:lineRule="auto"/>
        <w:ind w:left="1800" w:leftChars="0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1"/>
        <w:numPr>
          <w:ilvl w:val="2"/>
          <w:numId w:val="2"/>
        </w:numPr>
        <w:spacing w:line="360" w:lineRule="auto"/>
        <w:jc w:val="left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15" w:name="_GoBack"/>
      <w:bookmarkEnd w:id="15"/>
      <w:bookmarkStart w:id="9" w:name="_Toc100395606"/>
      <w:r>
        <w:rPr>
          <w:rFonts w:ascii="Times New Roman" w:hAnsi="Times New Roman" w:cs="Times New Roman"/>
          <w:b/>
          <w:sz w:val="28"/>
          <w:szCs w:val="28"/>
        </w:rPr>
        <w:t>Хранилище данных</w:t>
      </w:r>
      <w:bookmarkEnd w:id="9"/>
    </w:p>
    <w:p>
      <w:pPr>
        <w:pStyle w:val="11"/>
        <w:numPr>
          <w:ilvl w:val="0"/>
          <w:numId w:val="2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100395607"/>
      <w:r>
        <w:rPr>
          <w:rFonts w:ascii="Times New Roman" w:hAnsi="Times New Roman" w:cs="Times New Roman"/>
          <w:b/>
          <w:sz w:val="28"/>
          <w:szCs w:val="28"/>
        </w:rPr>
        <w:t>Этап разработки</w:t>
      </w:r>
      <w:bookmarkEnd w:id="10"/>
    </w:p>
    <w:p>
      <w:pPr>
        <w:pStyle w:val="11"/>
        <w:numPr>
          <w:ilvl w:val="1"/>
          <w:numId w:val="2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100395608"/>
      <w:r>
        <w:rPr>
          <w:rFonts w:ascii="Times New Roman" w:hAnsi="Times New Roman" w:cs="Times New Roman"/>
          <w:b/>
          <w:sz w:val="28"/>
          <w:szCs w:val="28"/>
        </w:rPr>
        <w:t>Нормализация данных (1, 2, 3 НФ)</w:t>
      </w:r>
      <w:bookmarkEnd w:id="11"/>
    </w:p>
    <w:p>
      <w:pPr>
        <w:pStyle w:val="11"/>
        <w:numPr>
          <w:ilvl w:val="1"/>
          <w:numId w:val="2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00395609"/>
      <w:r>
        <w:rPr>
          <w:rFonts w:ascii="Times New Roman" w:hAnsi="Times New Roman" w:cs="Times New Roman"/>
          <w:b/>
          <w:sz w:val="28"/>
          <w:szCs w:val="28"/>
        </w:rPr>
        <w:t>Схема реляционной модели</w:t>
      </w:r>
      <w:bookmarkEnd w:id="12"/>
    </w:p>
    <w:p>
      <w:pPr>
        <w:pStyle w:val="11"/>
        <w:numPr>
          <w:ilvl w:val="0"/>
          <w:numId w:val="2"/>
        </w:numPr>
        <w:spacing w:line="360" w:lineRule="auto"/>
        <w:jc w:val="lef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00395610"/>
      <w:r>
        <w:rPr>
          <w:rFonts w:ascii="Times New Roman" w:hAnsi="Times New Roman" w:cs="Times New Roman"/>
          <w:b/>
          <w:sz w:val="28"/>
          <w:szCs w:val="28"/>
        </w:rPr>
        <w:t>Реализация запросов</w:t>
      </w:r>
      <w:bookmarkEnd w:id="13"/>
    </w:p>
    <w:p>
      <w:pPr>
        <w:pStyle w:val="11"/>
        <w:numPr>
          <w:ilvl w:val="1"/>
          <w:numId w:val="2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00395611"/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запроса, запись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>, таблица с результата</w:t>
      </w:r>
      <w:bookmarkEnd w:id="14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85353"/>
    <w:multiLevelType w:val="multilevel"/>
    <w:tmpl w:val="3BA85353"/>
    <w:lvl w:ilvl="0" w:tentative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16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2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4AC06FE2"/>
    <w:multiLevelType w:val="multilevel"/>
    <w:tmpl w:val="4AC06F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Zero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FC"/>
    <w:rsid w:val="00005941"/>
    <w:rsid w:val="00084CD1"/>
    <w:rsid w:val="001D22AA"/>
    <w:rsid w:val="0069439B"/>
    <w:rsid w:val="006A2616"/>
    <w:rsid w:val="00854D2B"/>
    <w:rsid w:val="008F5461"/>
    <w:rsid w:val="00B1156E"/>
    <w:rsid w:val="00B52B6C"/>
    <w:rsid w:val="00F109FC"/>
    <w:rsid w:val="00FB1A84"/>
    <w:rsid w:val="310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paragraph" w:styleId="8">
    <w:name w:val="toc 3"/>
    <w:basedOn w:val="1"/>
    <w:next w:val="1"/>
    <w:unhideWhenUsed/>
    <w:uiPriority w:val="39"/>
    <w:pPr>
      <w:spacing w:after="100"/>
      <w:ind w:left="440"/>
    </w:pPr>
  </w:style>
  <w:style w:type="paragraph" w:styleId="9">
    <w:name w:val="toc 2"/>
    <w:basedOn w:val="1"/>
    <w:next w:val="1"/>
    <w:unhideWhenUsed/>
    <w:uiPriority w:val="39"/>
    <w:pPr>
      <w:spacing w:after="100"/>
      <w:ind w:left="220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3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14">
    <w:name w:val="Текст выноски Знак"/>
    <w:basedOn w:val="3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6E627-FB05-4B9C-8E13-E94207B1B6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490</Words>
  <Characters>2798</Characters>
  <Lines>23</Lines>
  <Paragraphs>6</Paragraphs>
  <TotalTime>22</TotalTime>
  <ScaleCrop>false</ScaleCrop>
  <LinksUpToDate>false</LinksUpToDate>
  <CharactersWithSpaces>3282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2022-04-13T11:00:00Z</dcterms:created>
  <dc:creator>Ксения Немтырва</dc:creator>
  <cp:lastModifiedBy>bubyl</cp:lastModifiedBy>
  <dcterms:modified xsi:type="dcterms:W3CDTF">2022-05-17T19:42:11Z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76971FB1AC6847D1A1C7B0D7C5D1AF49</vt:lpwstr>
  </property>
</Properties>
</file>