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Endodontic Treatment Rationale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Endodontic Treatment Rationale Guide</w:t>
      </w:r>
    </w:p>
    <w:p>
      <w:pPr>
        <w:pStyle w:val="BodyText"/>
      </w:pPr>
      <w:r>
        <w:t xml:space="preserve">Evidence-Based Decision Points for Clinical Practice</w:t>
      </w:r>
    </w:p>
    <w:p>
      <w:pPr>
        <w:pStyle w:val="BodyText"/>
      </w:pPr>
      <w:r>
        <w:t xml:space="preserve">Format: Questions are numbered in black. Answers appear indented in blue italics. Author citations are in orange.</w:t>
      </w:r>
    </w:p>
    <w:p>
      <w:pPr>
        <w:pStyle w:val="BodyText"/>
      </w:pPr>
      <w:r>
        <w:t xml:space="preserve">Instructions: Research the literature for unanswered questions and add your evidence-based responses.</w:t>
      </w:r>
    </w:p>
    <w:bookmarkStart w:id="20" w:name="root-canal-treatment-procedural-timeline"/>
    <w:p>
      <w:pPr>
        <w:pStyle w:val="Heading1"/>
      </w:pPr>
      <w:r>
        <w:t xml:space="preserve">Root Canal Treatment: Procedural Timeline</w:t>
      </w:r>
    </w:p>
    <w:p>
      <w:pPr>
        <w:pStyle w:val="FirstParagraph"/>
      </w:pPr>
      <w:r>
        <w:t xml:space="preserve">Quick Reference: Evidence-based rationale for each clinical decision point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STEP</w:t>
            </w:r>
          </w:p>
        </w:tc>
        <w:tc>
          <w:tcPr/>
          <w:p>
            <w:pPr>
              <w:pStyle w:val="Compact"/>
              <w:jc w:val="left"/>
            </w:pPr>
            <w:r>
              <w:t xml:space="preserve">RATIONALE</w:t>
            </w:r>
          </w:p>
        </w:tc>
        <w:tc>
          <w:tcPr/>
          <w:p>
            <w:pPr>
              <w:pStyle w:val="Compact"/>
              <w:jc w:val="left"/>
            </w:pPr>
            <w:r>
              <w:t xml:space="preserve">EVIDENCE</w:t>
            </w:r>
          </w:p>
        </w:tc>
      </w:tr>
      <w:tr>
        <w:tc>
          <w:tcPr/>
          <w:p>
            <w:pPr>
              <w:pStyle w:val="Compact"/>
              <w:jc w:val="left"/>
            </w:pPr>
            <w:r>
              <w:t xml:space="preserve">PRE-OPERATIVE</w:t>
            </w:r>
          </w:p>
        </w:tc>
        <w:tc>
          <w:tcPr/>
          <w:p>
            <w:pPr>
              <w:pStyle w:val="Compact"/>
              <w:jc w:val="left"/>
            </w:pPr>
            <w:r>
              <w:t xml:space="preserve">Medical History Review</w:t>
            </w:r>
          </w:p>
        </w:tc>
        <w:tc>
          <w:tcPr/>
          <w:p>
            <w:pPr>
              <w:pStyle w:val="Compact"/>
              <w:jc w:val="left"/>
            </w:pPr>
            <w:r>
              <w:t xml:space="preserve">Screen for systemic conditions affecting treatment</w:t>
            </w:r>
          </w:p>
        </w:tc>
        <w:tc>
          <w:tcPr/>
          <w:p>
            <w:pPr>
              <w:pStyle w:val="Compact"/>
              <w:jc w:val="left"/>
            </w:pPr>
            <w:r>
              <w:t xml:space="preserve">Fouad &amp; Burleson - diabetes affects outcomes; AHA 2007 - prophylaxis guidelines</w:t>
            </w:r>
          </w:p>
        </w:tc>
      </w:tr>
      <w:tr>
        <w:tc>
          <w:tcPr/>
          <w:p>
            <w:pPr>
              <w:pStyle w:val="Compact"/>
            </w:pPr>
          </w:p>
        </w:tc>
        <w:tc>
          <w:tcPr/>
          <w:p>
            <w:pPr>
              <w:pStyle w:val="Compact"/>
              <w:jc w:val="left"/>
            </w:pPr>
            <w:r>
              <w:t xml:space="preserve">Chief Complaint &amp; History</w:t>
            </w:r>
          </w:p>
        </w:tc>
        <w:tc>
          <w:tcPr/>
          <w:p>
            <w:pPr>
              <w:pStyle w:val="Compact"/>
              <w:jc w:val="left"/>
            </w:pPr>
            <w:r>
              <w:t xml:space="preserve">Determine etiology and guide diagnosis</w:t>
            </w:r>
          </w:p>
        </w:tc>
        <w:tc>
          <w:tcPr/>
          <w:p>
            <w:pPr>
              <w:pStyle w:val="Compact"/>
              <w:jc w:val="left"/>
            </w:pPr>
            <w:r>
              <w:t xml:space="preserve">Nixdorf - 50% persistent post-RCT pain is non-odontogenic</w:t>
            </w:r>
          </w:p>
        </w:tc>
      </w:tr>
      <w:tr>
        <w:tc>
          <w:tcPr/>
          <w:p>
            <w:pPr>
              <w:pStyle w:val="Compact"/>
            </w:pPr>
          </w:p>
        </w:tc>
        <w:tc>
          <w:tcPr/>
          <w:p>
            <w:pPr>
              <w:pStyle w:val="Compact"/>
              <w:jc w:val="left"/>
            </w:pPr>
            <w:r>
              <w:t xml:space="preserve">Clinical Examination</w:t>
            </w:r>
          </w:p>
        </w:tc>
        <w:tc>
          <w:tcPr/>
          <w:p>
            <w:pPr>
              <w:pStyle w:val="Compact"/>
              <w:jc w:val="left"/>
            </w:pPr>
            <w:r>
              <w:t xml:space="preserve">Percussion, palpation, probing, swelling assessment</w:t>
            </w:r>
          </w:p>
        </w:tc>
        <w:tc>
          <w:tcPr/>
          <w:p>
            <w:pPr>
              <w:pStyle w:val="Compact"/>
              <w:jc w:val="left"/>
            </w:pPr>
            <w:r>
              <w:t xml:space="preserve">Kayaoglu - SIP shows mechanical allodynia vs. necrosis</w:t>
            </w:r>
          </w:p>
        </w:tc>
      </w:tr>
      <w:tr>
        <w:tc>
          <w:tcPr/>
          <w:p>
            <w:pPr>
              <w:pStyle w:val="Compact"/>
            </w:pPr>
          </w:p>
        </w:tc>
        <w:tc>
          <w:tcPr/>
          <w:p>
            <w:pPr>
              <w:pStyle w:val="Compact"/>
              <w:jc w:val="left"/>
            </w:pPr>
            <w:r>
              <w:t xml:space="preserve">Pulp Vitality Testing</w:t>
            </w:r>
          </w:p>
        </w:tc>
        <w:tc>
          <w:tcPr/>
          <w:p>
            <w:pPr>
              <w:pStyle w:val="Compact"/>
              <w:jc w:val="left"/>
            </w:pPr>
            <w:r>
              <w:t xml:space="preserve">Cold first (84% accuracy), then EPT (82% accuracy)</w:t>
            </w:r>
          </w:p>
        </w:tc>
        <w:tc>
          <w:tcPr/>
          <w:p>
            <w:pPr>
              <w:pStyle w:val="Compact"/>
              <w:jc w:val="left"/>
            </w:pPr>
            <w:r>
              <w:t xml:space="preserve">Mainkar &amp; Kim 2018; Ricucci 2014 - 84-97% clinical-histologic correlation</w:t>
            </w:r>
          </w:p>
        </w:tc>
      </w:tr>
      <w:tr>
        <w:tc>
          <w:tcPr/>
          <w:p>
            <w:pPr>
              <w:pStyle w:val="Compact"/>
            </w:pPr>
          </w:p>
        </w:tc>
        <w:tc>
          <w:tcPr/>
          <w:p>
            <w:pPr>
              <w:pStyle w:val="Compact"/>
              <w:jc w:val="left"/>
            </w:pPr>
            <w:r>
              <w:t xml:space="preserve">Radiographic Examination</w:t>
            </w:r>
          </w:p>
        </w:tc>
        <w:tc>
          <w:tcPr/>
          <w:p>
            <w:pPr>
              <w:pStyle w:val="Compact"/>
              <w:jc w:val="left"/>
            </w:pPr>
            <w:r>
              <w:t xml:space="preserve">PA radiographs; CBCT if indicated</w:t>
            </w:r>
          </w:p>
        </w:tc>
        <w:tc>
          <w:tcPr/>
          <w:p>
            <w:pPr>
              <w:pStyle w:val="Compact"/>
              <w:jc w:val="left"/>
            </w:pPr>
            <w:r>
              <w:t xml:space="preserve">Low - CBCT detects 34% more lesions in posterior maxilla; Aminoshariae - CBCT 2x detection rate</w:t>
            </w:r>
          </w:p>
        </w:tc>
      </w:tr>
      <w:tr>
        <w:tc>
          <w:tcPr/>
          <w:p>
            <w:pPr>
              <w:pStyle w:val="Compact"/>
            </w:pPr>
          </w:p>
        </w:tc>
        <w:tc>
          <w:tcPr/>
          <w:p>
            <w:pPr>
              <w:pStyle w:val="Compact"/>
              <w:jc w:val="left"/>
            </w:pPr>
            <w:r>
              <w:t xml:space="preserve">Diagnosis &amp; Treatment Plan</w:t>
            </w:r>
          </w:p>
        </w:tc>
        <w:tc>
          <w:tcPr/>
          <w:p>
            <w:pPr>
              <w:pStyle w:val="Compact"/>
              <w:jc w:val="left"/>
            </w:pPr>
            <w:r>
              <w:t xml:space="preserve">AAE pulpal and periapical classification</w:t>
            </w:r>
          </w:p>
        </w:tc>
        <w:tc>
          <w:tcPr/>
          <w:p>
            <w:pPr>
              <w:pStyle w:val="Compact"/>
              <w:jc w:val="left"/>
            </w:pPr>
            <w:r>
              <w:t xml:space="preserve">de Chevigny - radiolucency decreases success 93%→82%</w:t>
            </w:r>
          </w:p>
        </w:tc>
      </w:tr>
      <w:tr>
        <w:tc>
          <w:tcPr/>
          <w:p>
            <w:pPr>
              <w:pStyle w:val="Compact"/>
            </w:pPr>
          </w:p>
        </w:tc>
        <w:tc>
          <w:tcPr/>
          <w:p>
            <w:pPr>
              <w:pStyle w:val="Compact"/>
              <w:jc w:val="left"/>
            </w:pPr>
            <w:r>
              <w:t xml:space="preserve">Informed Consent</w:t>
            </w:r>
          </w:p>
        </w:tc>
        <w:tc>
          <w:tcPr/>
          <w:p>
            <w:pPr>
              <w:pStyle w:val="Compact"/>
              <w:jc w:val="left"/>
            </w:pPr>
            <w:r>
              <w:t xml:space="preserve">Discuss prognosis, alternatives, risks</w:t>
            </w:r>
          </w:p>
        </w:tc>
        <w:tc>
          <w:tcPr/>
          <w:p>
            <w:pPr>
              <w:pStyle w:val="Compact"/>
              <w:jc w:val="left"/>
            </w:pPr>
            <w:r>
              <w:t xml:space="preserve">Salehrabi &amp; Rotstein - 97% survival rate</w:t>
            </w:r>
          </w:p>
        </w:tc>
      </w:tr>
      <w:tr>
        <w:tc>
          <w:tcPr/>
          <w:p>
            <w:pPr>
              <w:pStyle w:val="Compact"/>
              <w:jc w:val="left"/>
            </w:pPr>
            <w:r>
              <w:t xml:space="preserve">ANESTHESIA</w:t>
            </w:r>
          </w:p>
        </w:tc>
        <w:tc>
          <w:tcPr/>
          <w:p>
            <w:pPr>
              <w:pStyle w:val="Compact"/>
              <w:jc w:val="left"/>
            </w:pPr>
            <w:r>
              <w:t xml:space="preserve">Local Anesthetic Selection</w:t>
            </w:r>
          </w:p>
        </w:tc>
        <w:tc>
          <w:tcPr/>
          <w:p>
            <w:pPr>
              <w:pStyle w:val="Compact"/>
              <w:jc w:val="left"/>
            </w:pPr>
            <w:r>
              <w:t xml:space="preserve">Lidocaine or articaine based on case</w:t>
            </w:r>
          </w:p>
        </w:tc>
        <w:tc>
          <w:tcPr/>
          <w:p>
            <w:pPr>
              <w:pStyle w:val="Compact"/>
              <w:jc w:val="left"/>
            </w:pPr>
            <w:r>
              <w:t xml:space="preserve">==Garisto 2010 - articaine 3.6x excess paresthesia reports vs. expected based on market share (not a direct comparison to lidocaine)==</w:t>
            </w:r>
          </w:p>
        </w:tc>
      </w:tr>
      <w:tr>
        <w:tc>
          <w:tcPr/>
          <w:p>
            <w:pPr>
              <w:pStyle w:val="Compact"/>
            </w:pPr>
          </w:p>
        </w:tc>
        <w:tc>
          <w:tcPr/>
          <w:p>
            <w:pPr>
              <w:pStyle w:val="Compact"/>
              <w:jc w:val="left"/>
            </w:pPr>
            <w:r>
              <w:t xml:space="preserve">Primary Block/Infiltration</w:t>
            </w:r>
          </w:p>
        </w:tc>
        <w:tc>
          <w:tcPr/>
          <w:p>
            <w:pPr>
              <w:pStyle w:val="Compact"/>
              <w:jc w:val="left"/>
            </w:pPr>
            <w:r>
              <w:t xml:space="preserve">IAN block (3.6 mL) or maxillary infiltration</w:t>
            </w:r>
          </w:p>
        </w:tc>
        <w:tc>
          <w:tcPr/>
          <w:p>
            <w:pPr>
              <w:pStyle w:val="Compact"/>
              <w:jc w:val="left"/>
            </w:pPr>
            <w:r>
              <w:t xml:space="preserve">Fowler &amp; Reader - 2 cartridges more effective; Aggarwal - palatal doesn't increase success</w:t>
            </w:r>
          </w:p>
        </w:tc>
      </w:tr>
      <w:tr>
        <w:tc>
          <w:tcPr/>
          <w:p>
            <w:pPr>
              <w:pStyle w:val="Compact"/>
            </w:pPr>
          </w:p>
        </w:tc>
        <w:tc>
          <w:tcPr/>
          <w:p>
            <w:pPr>
              <w:pStyle w:val="Compact"/>
              <w:jc w:val="left"/>
            </w:pPr>
            <w:r>
              <w:t xml:space="preserve">Supplemental Anesthesia PRN</w:t>
            </w:r>
          </w:p>
        </w:tc>
        <w:tc>
          <w:tcPr/>
          <w:p>
            <w:pPr>
              <w:pStyle w:val="Compact"/>
              <w:jc w:val="left"/>
            </w:pPr>
            <w:r>
              <w:t xml:space="preserve">Buccal articaine, IO, PDL, intrapulpal if needed</w:t>
            </w:r>
          </w:p>
        </w:tc>
        <w:tc>
          <w:tcPr/>
          <w:p>
            <w:pPr>
              <w:pStyle w:val="Compact"/>
              <w:jc w:val="left"/>
            </w:pPr>
            <w:r>
              <w:t xml:space="preserve">Kanaa 2012 - buccal articaine 84%, IO 68%, PDL 48%, repeat IAN 32%</w:t>
            </w:r>
          </w:p>
        </w:tc>
      </w:tr>
      <w:tr>
        <w:tc>
          <w:tcPr/>
          <w:p>
            <w:pPr>
              <w:pStyle w:val="Compact"/>
              <w:jc w:val="left"/>
            </w:pPr>
            <w:r>
              <w:t xml:space="preserve">ACCESS</w:t>
            </w:r>
          </w:p>
        </w:tc>
        <w:tc>
          <w:tcPr/>
          <w:p>
            <w:pPr>
              <w:pStyle w:val="Compact"/>
              <w:jc w:val="left"/>
            </w:pPr>
            <w:r>
              <w:t xml:space="preserve">Rubber Dam Isolation</w:t>
            </w:r>
          </w:p>
        </w:tc>
        <w:tc>
          <w:tcPr/>
          <w:p>
            <w:pPr>
              <w:pStyle w:val="Compact"/>
              <w:jc w:val="left"/>
            </w:pPr>
            <w:r>
              <w:t xml:space="preserve">Standard of care - prevents aspiration, improves asepsis</w:t>
            </w:r>
          </w:p>
        </w:tc>
        <w:tc>
          <w:tcPr/>
          <w:p>
            <w:pPr>
              <w:pStyle w:val="Compact"/>
              <w:jc w:val="left"/>
            </w:pPr>
            <w:r>
              <w:t xml:space="preserve">AAE 2017 Position Statement</w:t>
            </w:r>
          </w:p>
        </w:tc>
      </w:tr>
      <w:tr>
        <w:tc>
          <w:tcPr/>
          <w:p>
            <w:pPr>
              <w:pStyle w:val="Compact"/>
            </w:pPr>
          </w:p>
        </w:tc>
        <w:tc>
          <w:tcPr/>
          <w:p>
            <w:pPr>
              <w:pStyle w:val="Compact"/>
              <w:jc w:val="left"/>
            </w:pPr>
            <w:r>
              <w:t xml:space="preserve">Isolation adjunctions</w:t>
            </w:r>
          </w:p>
        </w:tc>
        <w:tc>
          <w:tcPr/>
          <w:p>
            <w:pPr>
              <w:pStyle w:val="Compact"/>
              <w:jc w:val="left"/>
            </w:pPr>
            <w:r>
              <w:t xml:space="preserve">Use opal dam as needed</w:t>
            </w:r>
          </w:p>
        </w:tc>
        <w:tc>
          <w:tcPr/>
          <w:p>
            <w:pPr>
              <w:pStyle w:val="Compact"/>
            </w:pPr>
          </w:p>
        </w:tc>
      </w:tr>
      <w:tr>
        <w:tc>
          <w:tcPr/>
          <w:p>
            <w:pPr>
              <w:pStyle w:val="Compact"/>
            </w:pPr>
          </w:p>
        </w:tc>
        <w:tc>
          <w:tcPr/>
          <w:p>
            <w:pPr>
              <w:pStyle w:val="Compact"/>
              <w:jc w:val="left"/>
            </w:pPr>
            <w:r>
              <w:t xml:space="preserve">Access Cavity Preparation</w:t>
            </w:r>
          </w:p>
        </w:tc>
        <w:tc>
          <w:tcPr/>
          <w:p>
            <w:pPr>
              <w:pStyle w:val="Compact"/>
              <w:jc w:val="left"/>
            </w:pPr>
            <w:r>
              <w:t xml:space="preserve">Follow Laws of Krasner and Rankow</w:t>
            </w:r>
          </w:p>
        </w:tc>
        <w:tc>
          <w:tcPr/>
          <w:p>
            <w:pPr>
              <w:pStyle w:val="Compact"/>
              <w:jc w:val="left"/>
            </w:pPr>
            <w:r>
              <w:t xml:space="preserve">Reeh et al - access reduces stiffness only 5%</w:t>
            </w:r>
          </w:p>
        </w:tc>
      </w:tr>
      <w:tr>
        <w:tc>
          <w:tcPr/>
          <w:p>
            <w:pPr>
              <w:pStyle w:val="Compact"/>
            </w:pPr>
          </w:p>
        </w:tc>
        <w:tc>
          <w:tcPr/>
          <w:p>
            <w:pPr>
              <w:pStyle w:val="Compact"/>
              <w:jc w:val="left"/>
            </w:pPr>
            <w:r>
              <w:t xml:space="preserve">Canal Location</w:t>
            </w:r>
          </w:p>
        </w:tc>
        <w:tc>
          <w:tcPr/>
          <w:p>
            <w:pPr>
              <w:pStyle w:val="Compact"/>
              <w:jc w:val="left"/>
            </w:pPr>
            <w:r>
              <w:t xml:space="preserve">Use microscope, ultrasonics, dentin map</w:t>
            </w:r>
          </w:p>
        </w:tc>
        <w:tc>
          <w:tcPr/>
          <w:p>
            <w:pPr>
              <w:pStyle w:val="Compact"/>
            </w:pPr>
          </w:p>
        </w:tc>
      </w:tr>
      <w:tr>
        <w:tc>
          <w:tcPr/>
          <w:p>
            <w:pPr>
              <w:pStyle w:val="Compact"/>
              <w:jc w:val="left"/>
            </w:pPr>
            <w:r>
              <w:t xml:space="preserve">INSTRUMENTATION</w:t>
            </w:r>
          </w:p>
        </w:tc>
        <w:tc>
          <w:tcPr/>
          <w:p>
            <w:pPr>
              <w:pStyle w:val="Compact"/>
              <w:jc w:val="left"/>
            </w:pPr>
            <w:r>
              <w:t xml:space="preserve">Working Length Determination</w:t>
            </w:r>
          </w:p>
        </w:tc>
        <w:tc>
          <w:tcPr/>
          <w:p>
            <w:pPr>
              <w:pStyle w:val="Compact"/>
              <w:jc w:val="left"/>
            </w:pPr>
            <w:r>
              <w:t xml:space="preserve">EAL is 96% accurate; 0.5-1mm from radiographic apex</w:t>
            </w:r>
          </w:p>
        </w:tc>
        <w:tc>
          <w:tcPr/>
          <w:p>
            <w:pPr>
              <w:pStyle w:val="Compact"/>
              <w:jc w:val="left"/>
            </w:pPr>
            <w:r>
              <w:t xml:space="preserve">Burch &amp; Hulen - 92.4% foramina short of apex; Kuttler - CDJ 0.5-0.66mm from apex</w:t>
            </w:r>
          </w:p>
        </w:tc>
      </w:tr>
      <w:tr>
        <w:tc>
          <w:tcPr/>
          <w:p>
            <w:pPr>
              <w:pStyle w:val="Compact"/>
            </w:pPr>
          </w:p>
        </w:tc>
        <w:tc>
          <w:tcPr/>
          <w:p>
            <w:pPr>
              <w:pStyle w:val="Compact"/>
              <w:jc w:val="left"/>
            </w:pPr>
            <w:r>
              <w:t xml:space="preserve">Glide Path Establishment</w:t>
            </w:r>
          </w:p>
        </w:tc>
        <w:tc>
          <w:tcPr/>
          <w:p>
            <w:pPr>
              <w:pStyle w:val="Compact"/>
              <w:jc w:val="left"/>
            </w:pPr>
            <w:r>
              <w:t xml:space="preserve">Manual or mechanical to #15-20</w:t>
            </w:r>
          </w:p>
        </w:tc>
        <w:tc>
          <w:tcPr/>
          <w:p>
            <w:pPr>
              <w:pStyle w:val="Compact"/>
              <w:jc w:val="left"/>
            </w:pPr>
            <w:r>
              <w:t xml:space="preserve">Reduces instrument separation risk</w:t>
            </w:r>
          </w:p>
        </w:tc>
      </w:tr>
      <w:tr>
        <w:tc>
          <w:tcPr/>
          <w:p>
            <w:pPr>
              <w:pStyle w:val="Compact"/>
            </w:pPr>
          </w:p>
        </w:tc>
        <w:tc>
          <w:tcPr/>
          <w:p>
            <w:pPr>
              <w:pStyle w:val="Compact"/>
              <w:jc w:val="left"/>
            </w:pPr>
            <w:r>
              <w:t xml:space="preserve">Canal Shaping</w:t>
            </w:r>
          </w:p>
        </w:tc>
        <w:tc>
          <w:tcPr/>
          <w:p>
            <w:pPr>
              <w:pStyle w:val="Compact"/>
              <w:jc w:val="left"/>
            </w:pPr>
            <w:r>
              <w:t xml:space="preserve">Minimum #30 apical size for disinfection</w:t>
            </w:r>
          </w:p>
        </w:tc>
        <w:tc>
          <w:tcPr/>
          <w:p>
            <w:pPr>
              <w:pStyle w:val="Compact"/>
              <w:jc w:val="left"/>
            </w:pPr>
            <w:r>
              <w:t xml:space="preserve">Sulzberger &amp; Brilliant - #30 minimum;</w:t>
            </w:r>
          </w:p>
        </w:tc>
      </w:tr>
      <w:tr>
        <w:tc>
          <w:tcPr/>
          <w:p>
            <w:pPr>
              <w:pStyle w:val="Compact"/>
            </w:pPr>
          </w:p>
        </w:tc>
        <w:tc>
          <w:tcPr/>
          <w:p>
            <w:pPr>
              <w:pStyle w:val="Compact"/>
              <w:jc w:val="left"/>
            </w:pPr>
            <w:r>
              <w:t xml:space="preserve">Maintain Patency</w:t>
            </w:r>
          </w:p>
        </w:tc>
        <w:tc>
          <w:tcPr/>
          <w:p>
            <w:pPr>
              <w:pStyle w:val="Compact"/>
              <w:jc w:val="left"/>
            </w:pPr>
            <w:r>
              <w:t xml:space="preserve">Prevents blockage, improves irrigant flow</w:t>
            </w:r>
          </w:p>
        </w:tc>
        <w:tc>
          <w:tcPr/>
          <w:p>
            <w:pPr>
              <w:pStyle w:val="Compact"/>
              <w:jc w:val="left"/>
            </w:pPr>
            <w:r>
              <w:t xml:space="preserve">Vera 2012 - patency increases irrigant penetration</w:t>
            </w:r>
          </w:p>
        </w:tc>
      </w:tr>
      <w:tr>
        <w:tc>
          <w:tcPr/>
          <w:p>
            <w:pPr>
              <w:pStyle w:val="Compact"/>
              <w:jc w:val="left"/>
            </w:pPr>
            <w:r>
              <w:t xml:space="preserve">IRRIGATION</w:t>
            </w:r>
          </w:p>
        </w:tc>
        <w:tc>
          <w:tcPr/>
          <w:p>
            <w:pPr>
              <w:pStyle w:val="Compact"/>
              <w:jc w:val="left"/>
            </w:pPr>
            <w:r>
              <w:t xml:space="preserve">NaOCl Irrigation</w:t>
            </w:r>
          </w:p>
        </w:tc>
        <w:tc>
          <w:tcPr/>
          <w:p>
            <w:pPr>
              <w:pStyle w:val="Compact"/>
              <w:jc w:val="left"/>
            </w:pPr>
            <w:r>
              <w:t xml:space="preserve">5.25% most effective; continuous replenishment</w:t>
            </w:r>
          </w:p>
        </w:tc>
        <w:tc>
          <w:tcPr/>
          <w:p>
            <w:pPr>
              <w:pStyle w:val="Compact"/>
              <w:jc w:val="left"/>
            </w:pPr>
            <w:r>
              <w:t xml:space="preserve">Hand - concentration matters; Peters - 35% untouched walls need chemical disinfection</w:t>
            </w:r>
          </w:p>
        </w:tc>
      </w:tr>
      <w:tr>
        <w:tc>
          <w:tcPr/>
          <w:p>
            <w:pPr>
              <w:pStyle w:val="Compact"/>
            </w:pPr>
          </w:p>
        </w:tc>
        <w:tc>
          <w:tcPr/>
          <w:p>
            <w:pPr>
              <w:pStyle w:val="Compact"/>
              <w:jc w:val="left"/>
            </w:pPr>
            <w:r>
              <w:t xml:space="preserve">EDTA Application</w:t>
            </w:r>
          </w:p>
        </w:tc>
        <w:tc>
          <w:tcPr/>
          <w:p>
            <w:pPr>
              <w:pStyle w:val="Compact"/>
              <w:jc w:val="left"/>
            </w:pPr>
            <w:r>
              <w:t xml:space="preserve">1 minute penultimate rinse for smear layer removal</w:t>
            </w:r>
          </w:p>
        </w:tc>
        <w:tc>
          <w:tcPr/>
          <w:p>
            <w:pPr>
              <w:pStyle w:val="Compact"/>
              <w:jc w:val="left"/>
            </w:pPr>
            <w:r>
              <w:t xml:space="preserve">Calt &amp; Serper - 1 min optimal; 10 min causes erosion</w:t>
            </w:r>
          </w:p>
        </w:tc>
      </w:tr>
      <w:tr>
        <w:tc>
          <w:tcPr/>
          <w:p>
            <w:pPr>
              <w:pStyle w:val="Compact"/>
            </w:pPr>
          </w:p>
        </w:tc>
        <w:tc>
          <w:tcPr/>
          <w:p>
            <w:pPr>
              <w:pStyle w:val="Compact"/>
              <w:jc w:val="left"/>
            </w:pPr>
            <w:r>
              <w:t xml:space="preserve">Final NaOCl Rinse</w:t>
            </w:r>
          </w:p>
        </w:tc>
        <w:tc>
          <w:tcPr/>
          <w:p>
            <w:pPr>
              <w:pStyle w:val="Compact"/>
              <w:jc w:val="left"/>
            </w:pPr>
            <w:r>
              <w:t xml:space="preserve">Removes organic debris after EDTA</w:t>
            </w:r>
          </w:p>
        </w:tc>
        <w:tc>
          <w:tcPr/>
          <w:p>
            <w:pPr>
              <w:pStyle w:val="Compact"/>
              <w:jc w:val="left"/>
            </w:pPr>
            <w:r>
              <w:t xml:space="preserve">Baumgartner &amp; Mader - don't alternate throughout</w:t>
            </w:r>
          </w:p>
        </w:tc>
      </w:tr>
      <w:tr>
        <w:tc>
          <w:tcPr/>
          <w:p>
            <w:pPr>
              <w:pStyle w:val="Compact"/>
            </w:pPr>
          </w:p>
        </w:tc>
        <w:tc>
          <w:tcPr/>
          <w:p>
            <w:pPr>
              <w:pStyle w:val="Compact"/>
              <w:jc w:val="left"/>
            </w:pPr>
            <w:r>
              <w:t xml:space="preserve">Activation (PUI/Sonic)</w:t>
            </w:r>
          </w:p>
        </w:tc>
        <w:tc>
          <w:tcPr/>
          <w:p>
            <w:pPr>
              <w:pStyle w:val="Compact"/>
              <w:jc w:val="left"/>
            </w:pPr>
            <w:r>
              <w:t xml:space="preserve">Improves debridement in isthmuses, fins</w:t>
            </w:r>
          </w:p>
        </w:tc>
        <w:tc>
          <w:tcPr/>
          <w:p>
            <w:pPr>
              <w:pStyle w:val="Compact"/>
              <w:jc w:val="left"/>
            </w:pPr>
            <w:r>
              <w:t xml:space="preserve">Enhances irrigant penetration</w:t>
            </w:r>
          </w:p>
        </w:tc>
      </w:tr>
      <w:tr>
        <w:tc>
          <w:tcPr/>
          <w:p>
            <w:pPr>
              <w:pStyle w:val="Compact"/>
            </w:pPr>
          </w:p>
        </w:tc>
        <w:tc>
          <w:tcPr/>
          <w:p>
            <w:pPr>
              <w:pStyle w:val="Compact"/>
              <w:jc w:val="left"/>
            </w:pPr>
            <w:r>
              <w:t xml:space="preserve">Dry Canals</w:t>
            </w:r>
          </w:p>
        </w:tc>
        <w:tc>
          <w:tcPr/>
          <w:p>
            <w:pPr>
              <w:pStyle w:val="Compact"/>
              <w:jc w:val="left"/>
            </w:pPr>
            <w:r>
              <w:t xml:space="preserve">Paper points to confirm dryness before obturation</w:t>
            </w:r>
          </w:p>
        </w:tc>
        <w:tc>
          <w:tcPr/>
          <w:p>
            <w:pPr>
              <w:pStyle w:val="Compact"/>
              <w:jc w:val="left"/>
            </w:pPr>
            <w:r>
              <w:t xml:space="preserve">Persistent exudate may require medicament</w:t>
            </w:r>
          </w:p>
        </w:tc>
      </w:tr>
      <w:tr>
        <w:tc>
          <w:tcPr/>
          <w:p>
            <w:pPr>
              <w:pStyle w:val="Compact"/>
              <w:jc w:val="left"/>
            </w:pPr>
            <w:r>
              <w:t xml:space="preserve">OBTURATION</w:t>
            </w:r>
          </w:p>
        </w:tc>
        <w:tc>
          <w:tcPr/>
          <w:p>
            <w:pPr>
              <w:pStyle w:val="Compact"/>
              <w:jc w:val="left"/>
            </w:pPr>
            <w:r>
              <w:t xml:space="preserve">Master Cone Fit</w:t>
            </w:r>
          </w:p>
        </w:tc>
        <w:tc>
          <w:tcPr/>
          <w:p>
            <w:pPr>
              <w:pStyle w:val="Compact"/>
              <w:jc w:val="left"/>
            </w:pPr>
            <w:r>
              <w:t xml:space="preserve">Tug-back at working length</w:t>
            </w:r>
          </w:p>
        </w:tc>
        <w:tc>
          <w:tcPr/>
          <w:p>
            <w:pPr>
              <w:pStyle w:val="Compact"/>
              <w:jc w:val="left"/>
            </w:pPr>
            <w:r>
              <w:t xml:space="preserve">Radiographic confirmation</w:t>
            </w:r>
          </w:p>
        </w:tc>
      </w:tr>
      <w:tr>
        <w:tc>
          <w:tcPr/>
          <w:p>
            <w:pPr>
              <w:pStyle w:val="Compact"/>
            </w:pPr>
          </w:p>
        </w:tc>
        <w:tc>
          <w:tcPr/>
          <w:p>
            <w:pPr>
              <w:pStyle w:val="Compact"/>
              <w:jc w:val="left"/>
            </w:pPr>
            <w:r>
              <w:t xml:space="preserve">Sealer Application</w:t>
            </w:r>
          </w:p>
        </w:tc>
        <w:tc>
          <w:tcPr/>
          <w:p>
            <w:pPr>
              <w:pStyle w:val="Compact"/>
              <w:jc w:val="left"/>
            </w:pPr>
            <w:r>
              <w:t xml:space="preserve">Thin layer; bioceramic or resin-based</w:t>
            </w:r>
          </w:p>
        </w:tc>
        <w:tc>
          <w:tcPr/>
          <w:p>
            <w:pPr>
              <w:pStyle w:val="Compact"/>
              <w:jc w:val="left"/>
            </w:pPr>
            <w:r>
              <w:t xml:space="preserve">Sealer fills discrepancies</w:t>
            </w:r>
          </w:p>
        </w:tc>
      </w:tr>
      <w:tr>
        <w:tc>
          <w:tcPr/>
          <w:p>
            <w:pPr>
              <w:pStyle w:val="Compact"/>
            </w:pPr>
          </w:p>
        </w:tc>
        <w:tc>
          <w:tcPr/>
          <w:p>
            <w:pPr>
              <w:pStyle w:val="Compact"/>
              <w:jc w:val="left"/>
            </w:pPr>
            <w:r>
              <w:t xml:space="preserve">Obturation Technique</w:t>
            </w:r>
          </w:p>
        </w:tc>
        <w:tc>
          <w:tcPr/>
          <w:p>
            <w:pPr>
              <w:pStyle w:val="Compact"/>
              <w:jc w:val="left"/>
            </w:pPr>
            <w:r>
              <w:t xml:space="preserve">Warm vertical, lateral condensation, or single cone</w:t>
            </w:r>
          </w:p>
        </w:tc>
        <w:tc>
          <w:tcPr/>
          <w:p>
            <w:pPr>
              <w:pStyle w:val="Compact"/>
              <w:jc w:val="left"/>
            </w:pPr>
            <w:r>
              <w:t xml:space="preserve">Technique less important than coronal seal - Ray &amp; Trope</w:t>
            </w:r>
          </w:p>
        </w:tc>
      </w:tr>
      <w:tr>
        <w:tc>
          <w:tcPr/>
          <w:p>
            <w:pPr>
              <w:pStyle w:val="Compact"/>
            </w:pPr>
          </w:p>
        </w:tc>
        <w:tc>
          <w:tcPr/>
          <w:p>
            <w:pPr>
              <w:pStyle w:val="Compact"/>
              <w:jc w:val="left"/>
            </w:pPr>
            <w:r>
              <w:t xml:space="preserve">Radiographic Confirmation</w:t>
            </w:r>
          </w:p>
        </w:tc>
        <w:tc>
          <w:tcPr/>
          <w:p>
            <w:pPr>
              <w:pStyle w:val="Compact"/>
              <w:jc w:val="left"/>
            </w:pPr>
            <w:r>
              <w:t xml:space="preserve">Verify fill to WL, density, no voids</w:t>
            </w:r>
          </w:p>
        </w:tc>
        <w:tc>
          <w:tcPr/>
          <w:p>
            <w:pPr>
              <w:pStyle w:val="Compact"/>
              <w:jc w:val="left"/>
            </w:pPr>
            <w:r>
              <w:t xml:space="preserve">Sjögren - Dense fill 0-2mm from apex optimal</w:t>
            </w:r>
          </w:p>
        </w:tc>
      </w:tr>
      <w:tr>
        <w:tc>
          <w:tcPr/>
          <w:p>
            <w:pPr>
              <w:pStyle w:val="Compact"/>
              <w:jc w:val="left"/>
            </w:pPr>
            <w:r>
              <w:t xml:space="preserve">RESTORATION</w:t>
            </w:r>
          </w:p>
        </w:tc>
        <w:tc>
          <w:tcPr/>
          <w:p>
            <w:pPr>
              <w:pStyle w:val="Compact"/>
              <w:jc w:val="left"/>
            </w:pPr>
            <w:r>
              <w:t xml:space="preserve">Orifice Barrier</w:t>
            </w:r>
          </w:p>
        </w:tc>
        <w:tc>
          <w:tcPr/>
          <w:p>
            <w:pPr>
              <w:pStyle w:val="Compact"/>
              <w:jc w:val="left"/>
            </w:pPr>
            <w:r>
              <w:t xml:space="preserve">Prevents coronal leakage</w:t>
            </w:r>
          </w:p>
        </w:tc>
        <w:tc>
          <w:tcPr/>
          <w:p>
            <w:pPr>
              <w:pStyle w:val="Compact"/>
              <w:jc w:val="left"/>
            </w:pPr>
            <w:r>
              <w:t xml:space="preserve">==Swanson &amp; Madison - dye penetrated 79–85% of root length after just 3 days of coronal exposure (not necessarily to the apex)==</w:t>
            </w:r>
          </w:p>
        </w:tc>
      </w:tr>
      <w:tr>
        <w:tc>
          <w:tcPr/>
          <w:p>
            <w:pPr>
              <w:pStyle w:val="Compact"/>
            </w:pPr>
          </w:p>
        </w:tc>
        <w:tc>
          <w:tcPr/>
          <w:p>
            <w:pPr>
              <w:pStyle w:val="Compact"/>
              <w:jc w:val="left"/>
            </w:pPr>
            <w:r>
              <w:t xml:space="preserve">Core Placement</w:t>
            </w:r>
          </w:p>
        </w:tc>
        <w:tc>
          <w:tcPr/>
          <w:p>
            <w:pPr>
              <w:pStyle w:val="Compact"/>
              <w:jc w:val="left"/>
            </w:pPr>
            <w:r>
              <w:t xml:space="preserve">Same-day if possible; minimum 3.5mm Cavit if temp</w:t>
            </w:r>
          </w:p>
        </w:tc>
        <w:tc>
          <w:tcPr/>
          <w:p>
            <w:pPr>
              <w:pStyle w:val="Compact"/>
              <w:jc w:val="left"/>
            </w:pPr>
            <w:r>
              <w:t xml:space="preserve">Webber - 3.5mm Cavit for adequate seal</w:t>
            </w:r>
          </w:p>
        </w:tc>
      </w:tr>
      <w:tr>
        <w:tc>
          <w:tcPr/>
          <w:p>
            <w:pPr>
              <w:pStyle w:val="Compact"/>
            </w:pPr>
          </w:p>
        </w:tc>
        <w:tc>
          <w:tcPr/>
          <w:p>
            <w:pPr>
              <w:pStyle w:val="Compact"/>
              <w:jc w:val="left"/>
            </w:pPr>
            <w:r>
              <w:t xml:space="preserve">Cuspal Coverage Planning</w:t>
            </w:r>
          </w:p>
        </w:tc>
        <w:tc>
          <w:tcPr/>
          <w:p>
            <w:pPr>
              <w:pStyle w:val="Compact"/>
              <w:jc w:val="left"/>
            </w:pPr>
            <w:r>
              <w:t xml:space="preserve">Crown for posteriors; assess remaining structure</w:t>
            </w:r>
          </w:p>
        </w:tc>
        <w:tc>
          <w:tcPr/>
          <w:p>
            <w:pPr>
              <w:pStyle w:val="Compact"/>
              <w:jc w:val="left"/>
            </w:pPr>
            <w:r>
              <w:t xml:space="preserve">Ray &amp; Trope - coronal restoration more important than fill quality</w:t>
            </w:r>
          </w:p>
        </w:tc>
      </w:tr>
      <w:tr>
        <w:tc>
          <w:tcPr/>
          <w:p>
            <w:pPr>
              <w:pStyle w:val="Compact"/>
              <w:jc w:val="left"/>
            </w:pPr>
            <w:r>
              <w:t xml:space="preserve">POST-OP</w:t>
            </w:r>
          </w:p>
        </w:tc>
        <w:tc>
          <w:tcPr/>
          <w:p>
            <w:pPr>
              <w:pStyle w:val="Compact"/>
              <w:jc w:val="left"/>
            </w:pPr>
            <w:r>
              <w:t xml:space="preserve">Occlusal Adjustment</w:t>
            </w:r>
          </w:p>
        </w:tc>
        <w:tc>
          <w:tcPr/>
          <w:p>
            <w:pPr>
              <w:pStyle w:val="Compact"/>
              <w:jc w:val="left"/>
            </w:pPr>
            <w:r>
              <w:t xml:space="preserve">Reduce if pre-op pain, percussion sensitivity, vital</w:t>
            </w:r>
          </w:p>
        </w:tc>
        <w:tc>
          <w:tcPr/>
          <w:p>
            <w:pPr>
              <w:pStyle w:val="Compact"/>
              <w:jc w:val="left"/>
            </w:pPr>
            <w:r>
              <w:t xml:space="preserve">Rosenberg - decreases pain with specific indications</w:t>
            </w:r>
          </w:p>
        </w:tc>
      </w:tr>
      <w:tr>
        <w:tc>
          <w:tcPr/>
          <w:p>
            <w:pPr>
              <w:pStyle w:val="Compact"/>
            </w:pPr>
          </w:p>
        </w:tc>
        <w:tc>
          <w:tcPr/>
          <w:p>
            <w:pPr>
              <w:pStyle w:val="Compact"/>
              <w:jc w:val="left"/>
            </w:pPr>
            <w:r>
              <w:t xml:space="preserve">Post-operative Instructions</w:t>
            </w:r>
          </w:p>
        </w:tc>
        <w:tc>
          <w:tcPr/>
          <w:p>
            <w:pPr>
              <w:pStyle w:val="Compact"/>
              <w:jc w:val="left"/>
            </w:pPr>
            <w:r>
              <w:t xml:space="preserve">Pain expectations, medications, when to call</w:t>
            </w:r>
          </w:p>
        </w:tc>
        <w:tc>
          <w:tcPr/>
          <w:p>
            <w:pPr>
              <w:pStyle w:val="Compact"/>
              <w:jc w:val="left"/>
            </w:pPr>
            <w:r>
              <w:t xml:space="preserve">Tsesis - 8.4% flare-up rate</w:t>
            </w:r>
          </w:p>
        </w:tc>
      </w:tr>
      <w:tr>
        <w:tc>
          <w:tcPr/>
          <w:p>
            <w:pPr>
              <w:pStyle w:val="Compact"/>
            </w:pPr>
          </w:p>
        </w:tc>
        <w:tc>
          <w:tcPr/>
          <w:p>
            <w:pPr>
              <w:pStyle w:val="Compact"/>
              <w:jc w:val="left"/>
            </w:pPr>
            <w:r>
              <w:t xml:space="preserve">Analgesic Prescription</w:t>
            </w:r>
          </w:p>
        </w:tc>
        <w:tc>
          <w:tcPr/>
          <w:p>
            <w:pPr>
              <w:pStyle w:val="Compact"/>
              <w:jc w:val="left"/>
            </w:pPr>
            <w:r>
              <w:t xml:space="preserve">Ibuprofen 400-600mg q6h; combo with acetaminophen</w:t>
            </w:r>
          </w:p>
        </w:tc>
        <w:tc>
          <w:tcPr/>
          <w:p>
            <w:pPr>
              <w:pStyle w:val="Compact"/>
              <w:jc w:val="left"/>
            </w:pPr>
            <w:r>
              <w:t xml:space="preserve">Oxford League Table - 800mg ibuprofen NNT 1.6</w:t>
            </w:r>
          </w:p>
        </w:tc>
      </w:tr>
      <w:tr>
        <w:tc>
          <w:tcPr/>
          <w:p>
            <w:pPr>
              <w:pStyle w:val="Compact"/>
            </w:pPr>
          </w:p>
        </w:tc>
        <w:tc>
          <w:tcPr/>
          <w:p>
            <w:pPr>
              <w:pStyle w:val="Compact"/>
              <w:jc w:val="left"/>
            </w:pPr>
            <w:r>
              <w:t xml:space="preserve">Follow-up Scheduling</w:t>
            </w:r>
          </w:p>
        </w:tc>
        <w:tc>
          <w:tcPr/>
          <w:p>
            <w:pPr>
              <w:pStyle w:val="Compact"/>
              <w:jc w:val="left"/>
            </w:pPr>
            <w:r>
              <w:t xml:space="preserve">6-12 months; longer for large lesions</w:t>
            </w:r>
          </w:p>
        </w:tc>
        <w:tc>
          <w:tcPr/>
          <w:p>
            <w:pPr>
              <w:pStyle w:val="Compact"/>
              <w:jc w:val="left"/>
            </w:pPr>
            <w:r>
              <w:t xml:space="preserve">Murphy - 70% lesions &gt;1 year to heal</w:t>
            </w:r>
          </w:p>
        </w:tc>
      </w:tr>
    </w:tbl>
    <w:bookmarkEnd w:id="20"/>
    <w:bookmarkStart w:id="29" w:name="Xd1029f51300cf2f4272d7eb1057836edbf122c7"/>
    <w:p>
      <w:pPr>
        <w:pStyle w:val="Heading1"/>
      </w:pPr>
      <w:r>
        <w:t xml:space="preserve">1. Diagnosis and Case Assessment</w:t>
      </w:r>
    </w:p>
    <w:bookmarkStart w:id="21" w:name="Xb13044ffcef40fdd6f30accc14ecb8f1c690466"/>
    <w:p>
      <w:pPr>
        <w:pStyle w:val="Heading2"/>
      </w:pPr>
      <w:r>
        <w:t xml:space="preserve">1.1 Pulp Testing Methodology and Interpretation</w:t>
      </w:r>
    </w:p>
    <w:p>
      <w:pPr>
        <w:numPr>
          <w:ilvl w:val="0"/>
          <w:numId w:val="1001"/>
        </w:numPr>
        <w:pStyle w:val="Compact"/>
      </w:pPr>
      <w:r>
        <w:t xml:space="preserve">What is the sensitivity and specificity of cold testing vs. EPT for determining pulp vitality?</w:t>
      </w:r>
    </w:p>
    <w:p>
      <w:pPr>
        <w:pStyle w:val="FirstParagraph"/>
      </w:pPr>
      <w:r>
        <w:t xml:space="preserve">Cold testing is the most useful tool for determining pulp vitality. Ricucci et al., 2014 found 84-97% agreement between clinical and histological diagnoses. Cold testing has sensitivity of 0.87 and specificity of 0.84. PPV is 0.81, NPV is 0.87, giving overall accuracy of 84%. This exceeds heat testing accuracy of 72%. EPT has sensitivity of 0.72 and specificity of 0.93, with PPV of 0.89 and NPV of 0.80, giving overall accuracy of 82% {{cite: Mainkar and Kim 2018}}.</w:t>
      </w:r>
    </w:p>
    <w:p>
      <w:pPr>
        <w:numPr>
          <w:ilvl w:val="0"/>
          <w:numId w:val="1002"/>
        </w:numPr>
        <w:pStyle w:val="Compact"/>
      </w:pPr>
      <w:r>
        <w:t xml:space="preserve">How does pulp canal obliteration affect test reliability?</w:t>
      </w:r>
    </w:p>
    <w:p>
      <w:pPr>
        <w:pStyle w:val="FirstParagraph"/>
      </w:pPr>
      <w:r>
        <w:t xml:space="preserve">EPT is more useful in calcified teeth (Ketterl) due to less fluid for movement with thermal testing. EPT is less accurate in immature teeth due to later development of A-delta fibers (Fulling and Andreasen). Only 7% of teeth with pulp canal obliteration develop necrosis (Andreasen et al., 1987).</w:t>
      </w:r>
    </w:p>
    <w:p>
      <w:pPr>
        <w:numPr>
          <w:ilvl w:val="0"/>
          <w:numId w:val="1003"/>
        </w:numPr>
        <w:pStyle w:val="Compact"/>
      </w:pPr>
      <w:r>
        <w:t xml:space="preserve">What is the recommended sequence of pulp tests and why?</w:t>
      </w:r>
    </w:p>
    <w:p>
      <w:pPr>
        <w:pStyle w:val="FirstParagraph"/>
      </w:pPr>
      <w:r>
        <w:t xml:space="preserve">Perform cold testing first due to high accuracy and ease of test, then EPT to confirm necrosis if there are doubts about vitality.</w:t>
      </w:r>
    </w:p>
    <w:p>
      <w:pPr>
        <w:numPr>
          <w:ilvl w:val="0"/>
          <w:numId w:val="1004"/>
        </w:numPr>
        <w:pStyle w:val="Compact"/>
      </w:pPr>
      <w:r>
        <w:t xml:space="preserve">How do you interpret discordant test results?</w:t>
      </w:r>
    </w:p>
    <w:p>
      <w:pPr>
        <w:pStyle w:val="FirstParagraph"/>
      </w:pPr>
      <w:r>
        <w:t xml:space="preserve">If test results are discordant one should correlate with clinical and symptom history, look for radiographic signs (especially progressive radiographic pathology), realize that in multi-rooted teeth one canal may be necrotic while another is vital which could affect testing, consider monitoring and re-evaluating at a follow-up appointment.</w:t>
      </w:r>
    </w:p>
    <w:p>
      <w:pPr>
        <w:numPr>
          <w:ilvl w:val="0"/>
          <w:numId w:val="1005"/>
        </w:numPr>
        <w:pStyle w:val="Compact"/>
      </w:pPr>
      <w:r>
        <w:t xml:space="preserve">Does the EPT interfere with pacemaker function?</w:t>
      </w:r>
    </w:p>
    <w:p>
      <w:pPr>
        <w:pStyle w:val="FirstParagraph"/>
      </w:pPr>
      <w:r>
        <w:t xml:space="preserve">Wilson found that EPT does not interfere with pacemaker function.</w:t>
      </w:r>
    </w:p>
    <w:p>
      <w:pPr>
        <w:numPr>
          <w:ilvl w:val="0"/>
          <w:numId w:val="1006"/>
        </w:numPr>
        <w:pStyle w:val="Compact"/>
      </w:pPr>
      <w:r>
        <w:t xml:space="preserve">What is the mechanism of cold testing and is it safe?</w:t>
      </w:r>
    </w:p>
    <w:p>
      <w:pPr>
        <w:pStyle w:val="FirstParagraph"/>
      </w:pPr>
      <w:r>
        <w:t xml:space="preserve">Cold testing works via outward hydrodynamic fluid flow in the dentinal tubules, which stimulates Aδ fibers {{cite: Trowbridge — Cold testing mechanism: outward hydrodynamic fluid flow stimulates Aδ fibers}}. Rickoff et al found no pathologic changes resulting from cold testing. The best method for cold testing is refrigerant sprays (tetrafluoroethane): White and Cooley demonstrated superiority over cold-water bath or ice stick, and Miller et al found refrigerant sprays are superior for crowned teeth (PFM) {{cite: Miller — Refrigerant sprays superior to other cold methods for crowned PFM teeth}}.</w:t>
      </w:r>
    </w:p>
    <w:p>
      <w:pPr>
        <w:numPr>
          <w:ilvl w:val="0"/>
          <w:numId w:val="1007"/>
        </w:numPr>
        <w:pStyle w:val="Compact"/>
      </w:pPr>
      <w:r>
        <w:t xml:space="preserve">What is the mechanism of heat testing and what are its accuracy statistics?</w:t>
      </w:r>
    </w:p>
    <w:p>
      <w:pPr>
        <w:pStyle w:val="FirstParagraph"/>
      </w:pPr>
      <w:r>
        <w:t xml:space="preserve">Heat testing is reserved as a second-line test or when heat is the chief complaint. It works via inward hydrodynamic fluid flow. Bierma et al found that heated gutta-percha via a warm vertical compaction tip is the safest heat testing method — a heated ball burnisher or hot water can cause pulpal damage {{cite: Bierma — Heated GP tip is safest heat testing method; avoid ball burnisher or hot water}}. Rickoff et al found no pathologic changes. Heat testing accuracy: sensitivity 0.78, specificity 0.67, PPV 0.62, NPV 0.79, overall accuracy 72% {{cite: Mainkar and Kim 2018}}.</w:t>
      </w:r>
    </w:p>
    <w:p>
      <w:pPr>
        <w:numPr>
          <w:ilvl w:val="0"/>
          <w:numId w:val="1008"/>
        </w:numPr>
        <w:pStyle w:val="Compact"/>
      </w:pPr>
      <w:r>
        <w:t xml:space="preserve">What is the complete comparison of pulp testing modalities?</w:t>
      </w:r>
    </w:p>
    <w:p>
      <w:pPr>
        <w:pStyle w:val="FirstParagraph"/>
      </w:pPr>
      <w:r>
        <w:t xml:space="preserve">From Mainkar and Kim (Table 6-1), comparing Sensitivity / Specificity / PPV / NPV / Overall accuracy: Cold 87/84/81/87/84%; Heat 78/67/62/79/72%; EPT 72/93/89/80/82%; LDF 98/95/94/100/97%; Pulse oximetry 97/95/94/99/97%. Laser Doppler flowmetry (LDF) and pulse oximetry are true vitality tests (measuring blood flow/oxygen saturation) rather than sensitivity tests, with 97% accuracy vs. 84% for cold — but neither is currently available for routine clinical use {{cite: Mainkar and Kim 2018 — LDF and pulse oximetry achieve 97% accuracy vs 84% for cold; not yet clinically available}}.</w:t>
      </w:r>
    </w:p>
    <w:p>
      <w:pPr>
        <w:numPr>
          <w:ilvl w:val="0"/>
          <w:numId w:val="1009"/>
        </w:numPr>
        <w:pStyle w:val="Compact"/>
      </w:pPr>
      <w:r>
        <w:t xml:space="preserve">Where should the EPT electrode be placed and does orthodontic treatment affect EPT reliability?</w:t>
      </w:r>
    </w:p>
    <w:p>
      <w:pPr>
        <w:pStyle w:val="FirstParagraph"/>
      </w:pPr>
      <w:r>
        <w:t xml:space="preserve">The EPT electrode should be placed at the incisal edge or cusp tip for optimal results {{cite: Bender — EPT electrode should be placed at incisal edge or cusp tip}}. During orthodontic treatment, Alomari found that thermal tests may be more accurate than EPT since orthodontic tooth movement alters EPT thresholds {{cite: Alomari — Thermal tests more reliable than EPT during orthodontic treatment}}.</w:t>
      </w:r>
    </w:p>
    <w:p>
      <w:pPr>
        <w:numPr>
          <w:ilvl w:val="0"/>
          <w:numId w:val="1010"/>
        </w:numPr>
        <w:pStyle w:val="Compact"/>
      </w:pPr>
      <w:r>
        <w:t xml:space="preserve">Do common analgesics affect pulp test results?</w:t>
      </w:r>
    </w:p>
    <w:p>
      <w:pPr>
        <w:pStyle w:val="FirstParagraph"/>
      </w:pPr>
      <w:r>
        <w:t xml:space="preserve">Read et al found that ibuprofen taken prior to testing significantly affects percussion, palpation, and cold testing results {{cite: Read — Ibuprofen taken before testing significantly affects percussion, palpation, and cold test results}}. However, Fowler et al found that an acetaminophen/hydrocodone combination had NO effect on cold testing in patients with symptomatic irreversible pulpitis {{cite: Fowler — Acetaminophen/hydrocodone combination had no effect on cold testing in SIP patients}}.</w:t>
      </w:r>
    </w:p>
    <w:p>
      <w:pPr>
        <w:numPr>
          <w:ilvl w:val="0"/>
          <w:numId w:val="1011"/>
        </w:numPr>
        <w:pStyle w:val="Compact"/>
      </w:pPr>
      <w:r>
        <w:t xml:space="preserve">How does dental trauma affect pulp test reliability?</w:t>
      </w:r>
    </w:p>
    <w:p>
      <w:pPr>
        <w:pStyle w:val="FirstParagraph"/>
      </w:pPr>
      <w:r>
        <w:t xml:space="preserve">Bhaskar and Rappaport found that vital tissue can be present in traumatized teeth that are nonresponsive to sensitivity tests. They advise delaying a diagnosis of necrosis in trauma cases because of transient sensory deficiencies following injury {{cite: Bhaskar and Rappaport — Vital tissue found in traumatized teeth nonresponsive to sensitivity tests; delay necrosis diagnosis post-trauma}}.</w:t>
      </w:r>
    </w:p>
    <w:p>
      <w:pPr>
        <w:numPr>
          <w:ilvl w:val="0"/>
          <w:numId w:val="1012"/>
        </w:numPr>
        <w:pStyle w:val="Compact"/>
      </w:pPr>
      <w:r>
        <w:t xml:space="preserve">What is the clinical significance of percussion and palpation testing?</w:t>
      </w:r>
    </w:p>
    <w:p>
      <w:pPr>
        <w:pStyle w:val="FirstParagraph"/>
      </w:pPr>
      <w:r>
        <w:t xml:space="preserve">Owatz et al established that percussion tenderness represents mechanical allodynia — a painful response to a normally nonnoxious stimulus. This may result from endodontic disease extending beyond the apex, periodontal disease, occlusal disease, or physical trauma {{cite: Owatz — Percussion tenderness is mechanical allodynia; may reflect endo, perio, occlusal, or traumatic etiology}}. Seltzer (1965) also described percussion sensitivity in the context of periodontal and occlusal causes. Palpation evaluates soft tissue swelling and bony expansion. For biting pain, a Tooth Slooth or bite stick should be used to isolate discomfort to a specific cusp.</w:t>
      </w:r>
    </w:p>
    <w:bookmarkEnd w:id="21"/>
    <w:bookmarkStart w:id="24" w:name="X403a5083f0d8aeb5778018981c0e83632431c27"/>
    <w:p>
      <w:pPr>
        <w:pStyle w:val="Heading2"/>
      </w:pPr>
      <w:r>
        <w:t xml:space="preserve">1.2 Periapical Diagnosis Classification</w:t>
      </w:r>
    </w:p>
    <w:p>
      <w:pPr>
        <w:numPr>
          <w:ilvl w:val="0"/>
          <w:numId w:val="1013"/>
        </w:numPr>
        <w:pStyle w:val="Compact"/>
      </w:pPr>
      <w:r>
        <w:t xml:space="preserve">What are the AAE diagnostic categories and their defining criteria?</w:t>
      </w:r>
    </w:p>
    <w:bookmarkStart w:id="22" w:name="pulpal-diagnostic-categories"/>
    <w:p>
      <w:pPr>
        <w:pStyle w:val="Heading3"/>
      </w:pPr>
      <w:r>
        <w:t xml:space="preserve">Pulpal Diagnostic Categories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Key Findings</w:t>
            </w:r>
          </w:p>
        </w:tc>
      </w:tr>
      <w:tr>
        <w:tc>
          <w:tcPr/>
          <w:p>
            <w:pPr>
              <w:pStyle w:val="Compact"/>
              <w:jc w:val="left"/>
            </w:pPr>
            <w:r>
              <w:t xml:space="preserve">Normal Pulp</w:t>
            </w:r>
          </w:p>
        </w:tc>
        <w:tc>
          <w:tcPr/>
          <w:p>
            <w:pPr>
              <w:pStyle w:val="Compact"/>
              <w:jc w:val="left"/>
            </w:pPr>
            <w:r>
              <w:t xml:space="preserve">Healthy pulp tissue with no pathological findings</w:t>
            </w:r>
          </w:p>
        </w:tc>
      </w:tr>
      <w:tr>
        <w:tc>
          <w:tcPr/>
          <w:p>
            <w:pPr>
              <w:pStyle w:val="Compact"/>
              <w:jc w:val="left"/>
            </w:pPr>
            <w:r>
              <w:t xml:space="preserve">Reversible Pulpitis</w:t>
            </w:r>
          </w:p>
        </w:tc>
        <w:tc>
          <w:tcPr/>
          <w:p>
            <w:pPr>
              <w:pStyle w:val="Compact"/>
              <w:jc w:val="left"/>
            </w:pPr>
            <w:r>
              <w:t xml:space="preserve">Inflammation capable of healing after removal of irritant</w:t>
            </w:r>
          </w:p>
        </w:tc>
      </w:tr>
      <w:tr>
        <w:tc>
          <w:tcPr/>
          <w:p>
            <w:pPr>
              <w:pStyle w:val="Compact"/>
              <w:jc w:val="left"/>
            </w:pPr>
            <w:r>
              <w:t xml:space="preserve">Symptomatic Irreversible Pulpitis (SIP)</w:t>
            </w:r>
          </w:p>
        </w:tc>
        <w:tc>
          <w:tcPr/>
          <w:p>
            <w:pPr>
              <w:pStyle w:val="Compact"/>
              <w:jc w:val="left"/>
            </w:pPr>
            <w:r>
              <w:t xml:space="preserve">Lingering thermal pain, spontaneous pain, or referred pain; vital inflamed pulp incapable of healing. Kayaoglu found adjacent and contralateral teeth have mechanical allodynia present compared to pulp necrosis</w:t>
            </w:r>
          </w:p>
        </w:tc>
      </w:tr>
      <w:tr>
        <w:tc>
          <w:tcPr/>
          <w:p>
            <w:pPr>
              <w:pStyle w:val="Compact"/>
              <w:jc w:val="left"/>
            </w:pPr>
            <w:r>
              <w:t xml:space="preserve">Asymptomatic Irreversible Pulpitis (AIP)</w:t>
            </w:r>
          </w:p>
        </w:tc>
        <w:tc>
          <w:tcPr/>
          <w:p>
            <w:pPr>
              <w:pStyle w:val="Compact"/>
              <w:jc w:val="left"/>
            </w:pPr>
            <w:r>
              <w:t xml:space="preserve">No symptoms but inflammation attributed to caries, caries excavation, or trauma; vital pulp incapable of healing</w:t>
            </w:r>
          </w:p>
        </w:tc>
      </w:tr>
      <w:tr>
        <w:tc>
          <w:tcPr/>
          <w:p>
            <w:pPr>
              <w:pStyle w:val="Compact"/>
              <w:jc w:val="left"/>
            </w:pPr>
            <w:r>
              <w:t xml:space="preserve">Pulp Necrosis (PN)</w:t>
            </w:r>
          </w:p>
        </w:tc>
        <w:tc>
          <w:tcPr/>
          <w:p>
            <w:pPr>
              <w:pStyle w:val="Compact"/>
              <w:jc w:val="left"/>
            </w:pPr>
            <w:r>
              <w:t xml:space="preserve">Death of dental pulp; usually nonresponsive to pulp sensitivity testing</w:t>
            </w:r>
          </w:p>
        </w:tc>
      </w:tr>
      <w:tr>
        <w:tc>
          <w:tcPr/>
          <w:p>
            <w:pPr>
              <w:pStyle w:val="Compact"/>
              <w:jc w:val="left"/>
            </w:pPr>
            <w:r>
              <w:t xml:space="preserve">Previously Treated</w:t>
            </w:r>
          </w:p>
        </w:tc>
        <w:tc>
          <w:tcPr/>
          <w:p>
            <w:pPr>
              <w:pStyle w:val="Compact"/>
              <w:jc w:val="left"/>
            </w:pPr>
            <w:r>
              <w:t xml:space="preserve">Root canal treatment has been performed; canals filled with obturating material</w:t>
            </w:r>
          </w:p>
        </w:tc>
      </w:tr>
      <w:tr>
        <w:tc>
          <w:tcPr/>
          <w:p>
            <w:pPr>
              <w:pStyle w:val="Compact"/>
              <w:jc w:val="left"/>
            </w:pPr>
            <w:r>
              <w:t xml:space="preserve">Previously Initiated Therapy</w:t>
            </w:r>
          </w:p>
        </w:tc>
        <w:tc>
          <w:tcPr/>
          <w:p>
            <w:pPr>
              <w:pStyle w:val="Compact"/>
              <w:jc w:val="left"/>
            </w:pPr>
            <w:r>
              <w:t xml:space="preserve">Partial endodontic treatment has been started (e.g., pulpotomy, pulpectomy)</w:t>
            </w:r>
          </w:p>
        </w:tc>
      </w:tr>
    </w:tbl>
    <w:bookmarkEnd w:id="22"/>
    <w:bookmarkStart w:id="23" w:name="periapical-diagnostic-categories"/>
    <w:p>
      <w:pPr>
        <w:pStyle w:val="Heading3"/>
      </w:pPr>
      <w:r>
        <w:t xml:space="preserve">Periapical Diagnostic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Clinical Findings</w:t>
            </w:r>
          </w:p>
        </w:tc>
        <w:tc>
          <w:tcPr/>
          <w:p>
            <w:pPr>
              <w:pStyle w:val="Compact"/>
              <w:jc w:val="left"/>
            </w:pPr>
            <w:r>
              <w:t xml:space="preserve">Radiographic Findings</w:t>
            </w:r>
          </w:p>
        </w:tc>
      </w:tr>
      <w:tr>
        <w:tc>
          <w:tcPr/>
          <w:p>
            <w:pPr>
              <w:pStyle w:val="Compact"/>
              <w:jc w:val="left"/>
            </w:pPr>
            <w:r>
              <w:t xml:space="preserve">Normal Apical Tissues</w:t>
            </w:r>
          </w:p>
        </w:tc>
        <w:tc>
          <w:tcPr/>
          <w:p>
            <w:pPr>
              <w:pStyle w:val="Compact"/>
              <w:jc w:val="left"/>
            </w:pPr>
            <w:r>
              <w:t xml:space="preserve">No pain to biting, palpation, or percussion</w:t>
            </w:r>
          </w:p>
        </w:tc>
        <w:tc>
          <w:tcPr/>
          <w:p>
            <w:pPr>
              <w:pStyle w:val="Compact"/>
              <w:jc w:val="left"/>
            </w:pPr>
            <w:r>
              <w:t xml:space="preserve">Normal PDL and lamina dura</w:t>
            </w:r>
          </w:p>
        </w:tc>
      </w:tr>
      <w:tr>
        <w:tc>
          <w:tcPr/>
          <w:p>
            <w:pPr>
              <w:pStyle w:val="Compact"/>
              <w:jc w:val="left"/>
            </w:pPr>
            <w:r>
              <w:t xml:space="preserve">Symptomatic Apical Periodontitis</w:t>
            </w:r>
          </w:p>
        </w:tc>
        <w:tc>
          <w:tcPr/>
          <w:p>
            <w:pPr>
              <w:pStyle w:val="Compact"/>
              <w:jc w:val="left"/>
            </w:pPr>
            <w:r>
              <w:t xml:space="preserve">Pain with biting, palpation, or percussion</w:t>
            </w:r>
          </w:p>
        </w:tc>
        <w:tc>
          <w:tcPr/>
          <w:p>
            <w:pPr>
              <w:pStyle w:val="Compact"/>
              <w:jc w:val="left"/>
            </w:pPr>
            <w:r>
              <w:t xml:space="preserve">May have radiographic signs of inflammation</w:t>
            </w:r>
          </w:p>
        </w:tc>
      </w:tr>
      <w:tr>
        <w:tc>
          <w:tcPr/>
          <w:p>
            <w:pPr>
              <w:pStyle w:val="Compact"/>
              <w:jc w:val="left"/>
            </w:pPr>
            <w:r>
              <w:t xml:space="preserve">Asymptomatic Apical Periodontitis</w:t>
            </w:r>
          </w:p>
        </w:tc>
        <w:tc>
          <w:tcPr/>
          <w:p>
            <w:pPr>
              <w:pStyle w:val="Compact"/>
              <w:jc w:val="left"/>
            </w:pPr>
            <w:r>
              <w:t xml:space="preserve">No pain</w:t>
            </w:r>
          </w:p>
        </w:tc>
        <w:tc>
          <w:tcPr/>
          <w:p>
            <w:pPr>
              <w:pStyle w:val="Compact"/>
              <w:jc w:val="left"/>
            </w:pPr>
            <w:r>
              <w:t xml:space="preserve">Periapical radiolucency present</w:t>
            </w:r>
          </w:p>
        </w:tc>
      </w:tr>
      <w:tr>
        <w:tc>
          <w:tcPr/>
          <w:p>
            <w:pPr>
              <w:pStyle w:val="Compact"/>
              <w:jc w:val="left"/>
            </w:pPr>
            <w:r>
              <w:t xml:space="preserve">Acute Apical Abscess</w:t>
            </w:r>
          </w:p>
        </w:tc>
        <w:tc>
          <w:tcPr/>
          <w:p>
            <w:pPr>
              <w:pStyle w:val="Compact"/>
              <w:jc w:val="left"/>
            </w:pPr>
            <w:r>
              <w:t xml:space="preserve">Rapid onset, spontaneous pain, tenderness to pressure, pus formation, swelling; potential systemic signs</w:t>
            </w:r>
          </w:p>
        </w:tc>
        <w:tc>
          <w:tcPr/>
          <w:p>
            <w:pPr>
              <w:pStyle w:val="Compact"/>
              <w:jc w:val="left"/>
            </w:pPr>
            <w:r>
              <w:t xml:space="preserve">May or may not show periapical changes</w:t>
            </w:r>
          </w:p>
        </w:tc>
      </w:tr>
      <w:tr>
        <w:tc>
          <w:tcPr/>
          <w:p>
            <w:pPr>
              <w:pStyle w:val="Compact"/>
              <w:jc w:val="left"/>
            </w:pPr>
            <w:r>
              <w:t xml:space="preserve">Chronic Apical Abscess</w:t>
            </w:r>
          </w:p>
        </w:tc>
        <w:tc>
          <w:tcPr/>
          <w:p>
            <w:pPr>
              <w:pStyle w:val="Compact"/>
              <w:jc w:val="left"/>
            </w:pPr>
            <w:r>
              <w:t xml:space="preserve">Gradual onset, little or no discomfort, intermittent discharge of pus through a sinus tract</w:t>
            </w:r>
          </w:p>
        </w:tc>
        <w:tc>
          <w:tcPr/>
          <w:p>
            <w:pPr>
              <w:pStyle w:val="Compact"/>
              <w:jc w:val="left"/>
            </w:pPr>
            <w:r>
              <w:t xml:space="preserve">Periapical radiolucency</w:t>
            </w:r>
          </w:p>
        </w:tc>
      </w:tr>
      <w:tr>
        <w:tc>
          <w:tcPr/>
          <w:p>
            <w:pPr>
              <w:pStyle w:val="Compact"/>
              <w:jc w:val="left"/>
            </w:pPr>
            <w:r>
              <w:t xml:space="preserve">Condensing Osteitis</w:t>
            </w:r>
          </w:p>
        </w:tc>
        <w:tc>
          <w:tcPr/>
          <w:p>
            <w:pPr>
              <w:pStyle w:val="Compact"/>
              <w:jc w:val="left"/>
            </w:pPr>
            <w:r>
              <w:t xml:space="preserve">Low grade inflammation</w:t>
            </w:r>
          </w:p>
        </w:tc>
        <w:tc>
          <w:tcPr/>
          <w:p>
            <w:pPr>
              <w:pStyle w:val="Compact"/>
              <w:jc w:val="left"/>
            </w:pPr>
            <w:r>
              <w:t xml:space="preserve">Radiopaque area around apex</w:t>
            </w:r>
          </w:p>
        </w:tc>
      </w:tr>
    </w:tbl>
    <w:p>
      <w:pPr>
        <w:numPr>
          <w:ilvl w:val="0"/>
          <w:numId w:val="1014"/>
        </w:numPr>
        <w:pStyle w:val="Compact"/>
      </w:pPr>
      <w:r>
        <w:t xml:space="preserve">How do radiographic findings correlate with histologic disease?</w:t>
      </w:r>
    </w:p>
    <w:p>
      <w:pPr>
        <w:pStyle w:val="FirstParagraph"/>
      </w:pPr>
      <w:r>
        <w:t xml:space="preserve">Bender and Seltzer (1961) demonstrated that periapical bone lesions are typically only visible radiographically once they perforate or involve the cortical plate. Multiple PAs from different angles improve detection: Brynolf found diagnostic accuracy increased from 74% with a single radiograph to 90% when three radiographs were taken from different angles.</w:t>
      </w:r>
    </w:p>
    <w:p>
      <w:pPr>
        <w:numPr>
          <w:ilvl w:val="0"/>
          <w:numId w:val="1015"/>
        </w:numPr>
        <w:pStyle w:val="Compact"/>
      </w:pPr>
      <w:r>
        <w:t xml:space="preserve">What is the clinical significance of a widened PDL space vs. frank radiolucency?</w:t>
      </w:r>
    </w:p>
    <w:p>
      <w:pPr>
        <w:pStyle w:val="FirstParagraph"/>
      </w:pPr>
      <w:r>
        <w:t xml:space="preserve">The presence of a periapical radiolucency decreases root canal success from 93% to 82% (de Chevigny).</w:t>
      </w:r>
    </w:p>
    <w:p>
      <w:pPr>
        <w:numPr>
          <w:ilvl w:val="0"/>
          <w:numId w:val="1016"/>
        </w:numPr>
        <w:pStyle w:val="Compact"/>
      </w:pPr>
      <w:r>
        <w:t xml:space="preserve">When is CBCT indicated for periapical diagnosis?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Study/Author</w:t>
            </w:r>
          </w:p>
        </w:tc>
        <w:tc>
          <w:tcPr/>
          <w:p>
            <w:pPr>
              <w:pStyle w:val="Compact"/>
              <w:jc w:val="left"/>
            </w:pPr>
            <w:r>
              <w:t xml:space="preserve">Finding</w:t>
            </w:r>
          </w:p>
        </w:tc>
        <w:tc>
          <w:tcPr/>
          <w:p>
            <w:pPr>
              <w:pStyle w:val="Compact"/>
              <w:jc w:val="left"/>
            </w:pPr>
            <w:r>
              <w:t xml:space="preserve">Clinical Significance</w:t>
            </w:r>
          </w:p>
        </w:tc>
      </w:tr>
      <w:tr>
        <w:tc>
          <w:tcPr/>
          <w:p>
            <w:pPr>
              <w:pStyle w:val="Compact"/>
              <w:jc w:val="left"/>
            </w:pPr>
            <w:r>
              <w:t xml:space="preserve">Low</w:t>
            </w:r>
          </w:p>
        </w:tc>
        <w:tc>
          <w:tcPr/>
          <w:p>
            <w:pPr>
              <w:pStyle w:val="Compact"/>
              <w:jc w:val="left"/>
            </w:pPr>
            <w:r>
              <w:t xml:space="preserve">34% of lesions in posterior maxilla missed by traditional radiography compared to CBCT</w:t>
            </w:r>
          </w:p>
        </w:tc>
        <w:tc>
          <w:tcPr/>
          <w:p>
            <w:pPr>
              <w:pStyle w:val="Compact"/>
              <w:jc w:val="left"/>
            </w:pPr>
            <w:r>
              <w:t xml:space="preserve">Significant diagnostic advantage of CBCT in posterior maxilla</w:t>
            </w:r>
          </w:p>
        </w:tc>
      </w:tr>
      <w:tr>
        <w:tc>
          <w:tcPr/>
          <w:p>
            <w:pPr>
              <w:pStyle w:val="Compact"/>
              <w:jc w:val="left"/>
            </w:pPr>
            <w:r>
              <w:t xml:space="preserve">Goldman</w:t>
            </w:r>
          </w:p>
        </w:tc>
        <w:tc>
          <w:tcPr/>
          <w:p>
            <w:pPr>
              <w:pStyle w:val="Compact"/>
              <w:jc w:val="left"/>
            </w:pPr>
            <w:r>
              <w:t xml:space="preserve">Periapical radiographs interpreted inconsistently: 70% intraobserver reliability, 47% interrater agreement</w:t>
            </w:r>
          </w:p>
        </w:tc>
        <w:tc>
          <w:tcPr/>
          <w:p>
            <w:pPr>
              <w:pStyle w:val="Compact"/>
              <w:jc w:val="left"/>
            </w:pPr>
            <w:r>
              <w:t xml:space="preserve">Poor reliability of traditional radiographs supports CBCT use</w:t>
            </w:r>
          </w:p>
        </w:tc>
      </w:tr>
      <w:tr>
        <w:tc>
          <w:tcPr/>
          <w:p>
            <w:pPr>
              <w:pStyle w:val="Compact"/>
              <w:jc w:val="left"/>
            </w:pPr>
            <w:r>
              <w:t xml:space="preserve">{{cite: Tewary 2011}}</w:t>
            </w:r>
          </w:p>
        </w:tc>
        <w:tc>
          <w:tcPr/>
          <w:p>
            <w:pPr>
              <w:pStyle w:val="Compact"/>
              <w:jc w:val="left"/>
            </w:pPr>
            <w:r>
              <w:t xml:space="preserve">Only moderate agreement between observers of digital periapical radiographs</w:t>
            </w:r>
          </w:p>
        </w:tc>
        <w:tc>
          <w:tcPr/>
          <w:p>
            <w:pPr>
              <w:pStyle w:val="Compact"/>
              <w:jc w:val="left"/>
            </w:pPr>
            <w:r>
              <w:t xml:space="preserve">Confirms inconsistency in PA interpretation</w:t>
            </w:r>
          </w:p>
        </w:tc>
      </w:tr>
      <w:tr>
        <w:tc>
          <w:tcPr/>
          <w:p>
            <w:pPr>
              <w:pStyle w:val="Compact"/>
              <w:jc w:val="left"/>
            </w:pPr>
            <w:r>
              <w:t xml:space="preserve">Tsai</w:t>
            </w:r>
          </w:p>
        </w:tc>
        <w:tc>
          <w:tcPr/>
          <w:p>
            <w:pPr>
              <w:pStyle w:val="Compact"/>
              <w:jc w:val="left"/>
            </w:pPr>
            <w:r>
              <w:t xml:space="preserve">Minimum 1.4 mm lesion diameter required for CBCT detection</w:t>
            </w:r>
          </w:p>
        </w:tc>
        <w:tc>
          <w:tcPr/>
          <w:p>
            <w:pPr>
              <w:pStyle w:val="Compact"/>
              <w:jc w:val="left"/>
            </w:pPr>
            <w:r>
              <w:t xml:space="preserve">Establishes detection threshold for CBCT imaging</w:t>
            </w:r>
          </w:p>
        </w:tc>
      </w:tr>
      <w:tr>
        <w:tc>
          <w:tcPr/>
          <w:p>
            <w:pPr>
              <w:pStyle w:val="Compact"/>
              <w:jc w:val="left"/>
            </w:pPr>
            <w:r>
              <w:t xml:space="preserve">Ee</w:t>
            </w:r>
          </w:p>
        </w:tc>
        <w:tc>
          <w:tcPr/>
          <w:p>
            <w:pPr>
              <w:pStyle w:val="Compact"/>
              <w:jc w:val="left"/>
            </w:pPr>
            <w:r>
              <w:t xml:space="preserve">62% of clinicians changed diagnosis and treatment plan when evaluating cases with CBCT after initially using periapical radiographs</w:t>
            </w:r>
          </w:p>
        </w:tc>
        <w:tc>
          <w:tcPr/>
          <w:p>
            <w:pPr>
              <w:pStyle w:val="Compact"/>
              <w:jc w:val="left"/>
            </w:pPr>
            <w:r>
              <w:t xml:space="preserve">CBCT significantly impacts clinical decision-making</w:t>
            </w:r>
          </w:p>
        </w:tc>
      </w:tr>
      <w:tr>
        <w:tc>
          <w:tcPr/>
          <w:p>
            <w:pPr>
              <w:pStyle w:val="Compact"/>
              <w:jc w:val="left"/>
            </w:pPr>
            <w:r>
              <w:t xml:space="preserve">Aminoshariae</w:t>
            </w:r>
          </w:p>
        </w:tc>
        <w:tc>
          <w:tcPr/>
          <w:p>
            <w:pPr>
              <w:pStyle w:val="Compact"/>
              <w:jc w:val="left"/>
            </w:pPr>
            <w:r>
              <w:t xml:space="preserve">CBCT is 2× as likely to detect periapical radiolucencies compared to periapical radiographs</w:t>
            </w:r>
          </w:p>
        </w:tc>
        <w:tc>
          <w:tcPr/>
          <w:p>
            <w:pPr>
              <w:pStyle w:val="Compact"/>
              <w:jc w:val="left"/>
            </w:pPr>
            <w:r>
              <w:t xml:space="preserve">Doubled detection rate for periapical pathology</w:t>
            </w:r>
          </w:p>
        </w:tc>
      </w:tr>
      <w:tr>
        <w:tc>
          <w:tcPr/>
          <w:p>
            <w:pPr>
              <w:pStyle w:val="Compact"/>
              <w:jc w:val="left"/>
            </w:pPr>
            <w:r>
              <w:t xml:space="preserve">Dutra</w:t>
            </w:r>
          </w:p>
        </w:tc>
        <w:tc>
          <w:tcPr/>
          <w:p>
            <w:pPr>
              <w:pStyle w:val="Compact"/>
              <w:jc w:val="left"/>
            </w:pPr>
            <w:r>
              <w:t xml:space="preserve">Accuracy for detecting PARLs: Conventional 73%, Digital 72%, CBCT 96%</w:t>
            </w:r>
          </w:p>
        </w:tc>
        <w:tc>
          <w:tcPr/>
          <w:p>
            <w:pPr>
              <w:pStyle w:val="Compact"/>
              <w:jc w:val="left"/>
            </w:pPr>
            <w:r>
              <w:t xml:space="preserve">CBCT is significantly more accurate than 2D radiography</w:t>
            </w:r>
          </w:p>
        </w:tc>
      </w:tr>
    </w:tbl>
    <w:p>
      <w:pPr>
        <w:numPr>
          <w:ilvl w:val="0"/>
          <w:numId w:val="1017"/>
        </w:numPr>
        <w:pStyle w:val="Compact"/>
      </w:pPr>
      <w:r>
        <w:t xml:space="preserve">When is CBCT NOT indicated for endodontic diagnosis?</w:t>
      </w:r>
    </w:p>
    <w:p>
      <w:pPr>
        <w:pStyle w:val="FirstParagraph"/>
      </w:pPr>
      <w:r>
        <w:t xml:space="preserve">CBCT is not justified when: (1) a diagnostic-quality periapical radiograph is sufficient to answer the clinical question; (2) the CBCT finding would not change the treatment plan; or (3) the purpose is routine follow-up of straightforward cases where 2D healing assessment is adequate. The radiation dose of CBCT ranges from 40–500 µSv depending on field of view, compared with 1–8 µSv for a single periapical radiograph — a 10 to 100× difference. Even small-field (limited) CBCT (~40 µSv) substantially exceeds periapical radiography. CBCT is justified when the expected diagnostic yield is high and the finding will materially change clinical management — for example, detecting missed canals in retreatment, assessing resorption extent, evaluating surgical access, or characterizing complex anatomy prior to a high-difficulty case. The AAE and AAO 2015 Joint Position Statement recommends case-by-case selection: ordering CBCT only when the clinical benefit outweighs the additional radiation dose {{cite: AAE and AAO 2015 joint position statement — CBCT indicated only when expected diagnostic benefit outweighs added radiation dose; not for routine diagnosis when PA radiography is sufficient}}.</w:t>
      </w:r>
    </w:p>
    <w:p>
      <w:pPr>
        <w:numPr>
          <w:ilvl w:val="0"/>
          <w:numId w:val="1018"/>
        </w:numPr>
        <w:pStyle w:val="Compact"/>
      </w:pPr>
      <w:r>
        <w:t xml:space="preserve">What is the clinical significance of maxillary molar root proximity to the maxillary sinus?</w:t>
      </w:r>
    </w:p>
    <w:p>
      <w:pPr>
        <w:pStyle w:val="FirstParagraph"/>
      </w:pPr>
      <w:r>
        <w:t xml:space="preserve">Pagin et al found that 14% of maxillary molar roots perforate the maxillary sinus — an important consideration in pre-operative assessment and when evaluating CBCT imaging {{cite: Pagin — 14% of maxillary molar roots perforate the maxillary sinus}}. Shanbhag found that maxillary sinus mucositis is 9x more likely adjacent to molars with apical periodontitis, underscoring the importance of treating apical disease in this region {{cite: Shanbhag — Maxillary sinus mucositis 9x more likely adjacent to molars with apical periodontitis}}.</w:t>
      </w:r>
    </w:p>
    <w:p>
      <w:pPr>
        <w:numPr>
          <w:ilvl w:val="0"/>
          <w:numId w:val="1019"/>
        </w:numPr>
        <w:pStyle w:val="Compact"/>
      </w:pPr>
      <w:r>
        <w:t xml:space="preserve">What is stressed pulp syndrome?</w:t>
      </w:r>
    </w:p>
    <w:p>
      <w:pPr>
        <w:pStyle w:val="FirstParagraph"/>
      </w:pPr>
      <w:r>
        <w:t xml:space="preserve">Stressed pulp syndrome, described by Abou-Rass, refers to the concept that a tooth's cumulative history of injury and restorative treatment progressively reduces pulp resilience and increases susceptibility to necrosis. These teeth often show a blunted or decreased response to cold testing compared to healthy teeth.</w:t>
      </w:r>
    </w:p>
    <w:bookmarkEnd w:id="23"/>
    <w:bookmarkEnd w:id="24"/>
    <w:bookmarkStart w:id="25" w:name="X9ea7b61693aedc9c7f5d85d420b8b23317d6386"/>
    <w:p>
      <w:pPr>
        <w:pStyle w:val="Heading2"/>
      </w:pPr>
      <w:r>
        <w:t xml:space="preserve">1.3 Crack/Fracture Identification and Prognosis</w:t>
      </w:r>
    </w:p>
    <w:p>
      <w:pPr>
        <w:numPr>
          <w:ilvl w:val="0"/>
          <w:numId w:val="1020"/>
        </w:numPr>
        <w:pStyle w:val="Compact"/>
      </w:pPr>
      <w:r>
        <w:t xml:space="preserve">What clinical and radiographic signs suggest a cracked tooth?</w:t>
      </w:r>
    </w:p>
    <w:p>
      <w:pPr>
        <w:pStyle w:val="FirstParagraph"/>
      </w:pPr>
      <w:r>
        <w:t xml:space="preserve">The classic symptomatic presentation is sharp, electric pain on bite loading that is relieved on release — a pattern distinct from the sustained aching of periapical pathology. Cold hypersensitivity that is brief and sharp is common when the pulp is involved. The key diagnostic tools and signs are:</w:t>
      </w:r>
    </w:p>
    <w:p>
      <w:pPr>
        <w:numPr>
          <w:ilvl w:val="0"/>
          <w:numId w:val="1021"/>
        </w:numPr>
        <w:pStyle w:val="Compact"/>
      </w:pPr>
      <w:r>
        <w:rPr>
          <w:bCs/>
          <w:b/>
        </w:rPr>
        <w:t xml:space="preserve">Tooth Slooth or bite stick:</w:t>
      </w:r>
      <w:r>
        <w:t xml:space="preserve"> </w:t>
      </w:r>
      <w:r>
        <w:t xml:space="preserve">Load individual cusps in isolation to reproduce pain and localize to a specific cusp. Pain on biting one cusp but not adjacent cusps is pathognomonic for a crack in that cusp's supporting structure.</w:t>
      </w:r>
    </w:p>
    <w:p>
      <w:pPr>
        <w:numPr>
          <w:ilvl w:val="0"/>
          <w:numId w:val="1021"/>
        </w:numPr>
        <w:pStyle w:val="Compact"/>
      </w:pPr>
      <w:r>
        <w:rPr>
          <w:bCs/>
          <w:b/>
        </w:rPr>
        <w:t xml:space="preserve">Transillumination:</w:t>
      </w:r>
      <w:r>
        <w:t xml:space="preserve"> </w:t>
      </w:r>
      <w:r>
        <w:t xml:space="preserve">Shine the curing light or fiberoptic at the tooth surface in a darkened field. A crack line blocks the passage of light, producing a shadow that stops abruptly at the fracture plane — distinguishing a crack from a craze line, which allows light through.</w:t>
      </w:r>
    </w:p>
    <w:p>
      <w:pPr>
        <w:numPr>
          <w:ilvl w:val="0"/>
          <w:numId w:val="1021"/>
        </w:numPr>
        <w:pStyle w:val="Compact"/>
      </w:pPr>
      <w:r>
        <w:rPr>
          <w:bCs/>
          <w:b/>
        </w:rPr>
        <w:t xml:space="preserve">Dye staining:</w:t>
      </w:r>
      <w:r>
        <w:t xml:space="preserve"> </w:t>
      </w:r>
      <w:r>
        <w:t xml:space="preserve">Apply methylene blue or Gentian violet dye to the cleaned tooth surface; cracks take up dye while intact enamel does not. Useful for delineating crack extent on the occlusal surface and into the dentin.</w:t>
      </w:r>
    </w:p>
    <w:p>
      <w:pPr>
        <w:numPr>
          <w:ilvl w:val="0"/>
          <w:numId w:val="1021"/>
        </w:numPr>
        <w:pStyle w:val="Compact"/>
      </w:pPr>
      <w:r>
        <w:rPr>
          <w:bCs/>
          <w:b/>
        </w:rPr>
        <w:t xml:space="preserve">Narrow isolated probing depth:</w:t>
      </w:r>
      <w:r>
        <w:t xml:space="preserve"> </w:t>
      </w:r>
      <w:r>
        <w:t xml:space="preserve">A pocket 4–6 mm deep on a single surface in an otherwise periodontally healthy patient is a cardinal sign — bacteria track along the crack into the PDL, creating a linear defect rather than the circumferential bone loss of periodontal disease.</w:t>
      </w:r>
    </w:p>
    <w:p>
      <w:pPr>
        <w:numPr>
          <w:ilvl w:val="0"/>
          <w:numId w:val="1021"/>
        </w:numPr>
        <w:pStyle w:val="Compact"/>
      </w:pPr>
      <w:r>
        <w:rPr>
          <w:bCs/>
          <w:b/>
        </w:rPr>
        <w:t xml:space="preserve">Radiographic signs:</w:t>
      </w:r>
      <w:r>
        <w:t xml:space="preserve"> </w:t>
      </w:r>
      <w:r>
        <w:t xml:space="preserve">J-shaped radiolucency adjacent to a single root (not circumferential), isolated PDL widening along the crack, or a radiopaque line in the dentin. CBCT can reveal the crack path, its apical extent, and any associated bone loss not visible on 2D radiographs.</w:t>
      </w:r>
    </w:p>
    <w:p>
      <w:pPr>
        <w:pStyle w:val="FirstParagraph"/>
      </w:pPr>
      <w:r>
        <w:t xml:space="preserve">{{cite: Berman and Kuttler 2010 — cracked tooth produces sharp pain on bite loading of a single cusp relieved on release; narrow isolated probing depth is a hallmark clinical sign}}</w:t>
      </w:r>
    </w:p>
    <w:p>
      <w:pPr>
        <w:numPr>
          <w:ilvl w:val="0"/>
          <w:numId w:val="1022"/>
        </w:numPr>
        <w:pStyle w:val="Compact"/>
      </w:pPr>
      <w:r>
        <w:t xml:space="preserve">How do you differentiate craze lines from true cracks?</w:t>
      </w:r>
    </w:p>
    <w:p>
      <w:pPr>
        <w:pStyle w:val="FirstParagraph"/>
      </w:pPr>
      <w:r>
        <w:t xml:space="preserve">Craze lines are superficial enamel microfractures confined above the enamel-dentin junction (EDJ). They are extremely common in adult teeth, cause no symptoms, require no treatment, and are of no clinical significance beyond aesthetics. True cracks extend through or beyond the EDJ into dentin and may propagate toward the pulp chamber or root.</w:t>
      </w:r>
    </w:p>
    <w:p>
      <w:pPr>
        <w:pStyle w:val="BodyText"/>
      </w:pPr>
      <w:r>
        <w:t xml:space="preserve">Key clinical differentiation: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Craze Line</w:t>
            </w:r>
          </w:p>
        </w:tc>
        <w:tc>
          <w:tcPr/>
          <w:p>
            <w:pPr>
              <w:pStyle w:val="Compact"/>
              <w:jc w:val="left"/>
            </w:pPr>
            <w:r>
              <w:t xml:space="preserve">True Crack</w:t>
            </w:r>
          </w:p>
        </w:tc>
      </w:tr>
      <w:tr>
        <w:tc>
          <w:tcPr/>
          <w:p>
            <w:pPr>
              <w:pStyle w:val="Compact"/>
              <w:jc w:val="left"/>
            </w:pPr>
            <w:r>
              <w:t xml:space="preserve">Symptoms</w:t>
            </w:r>
          </w:p>
        </w:tc>
        <w:tc>
          <w:tcPr/>
          <w:p>
            <w:pPr>
              <w:pStyle w:val="Compact"/>
              <w:jc w:val="left"/>
            </w:pPr>
            <w:r>
              <w:t xml:space="preserve">None</w:t>
            </w:r>
          </w:p>
        </w:tc>
        <w:tc>
          <w:tcPr/>
          <w:p>
            <w:pPr>
              <w:pStyle w:val="Compact"/>
              <w:jc w:val="left"/>
            </w:pPr>
            <w:r>
              <w:t xml:space="preserve">Pain on bite loading, cold sensitivity</w:t>
            </w:r>
          </w:p>
        </w:tc>
      </w:tr>
      <w:tr>
        <w:tc>
          <w:tcPr/>
          <w:p>
            <w:pPr>
              <w:pStyle w:val="Compact"/>
              <w:jc w:val="left"/>
            </w:pPr>
            <w:r>
              <w:t xml:space="preserve">Dye uptake</w:t>
            </w:r>
          </w:p>
        </w:tc>
        <w:tc>
          <w:tcPr/>
          <w:p>
            <w:pPr>
              <w:pStyle w:val="Compact"/>
              <w:jc w:val="left"/>
            </w:pPr>
            <w:r>
              <w:t xml:space="preserve">None</w:t>
            </w:r>
          </w:p>
        </w:tc>
        <w:tc>
          <w:tcPr/>
          <w:p>
            <w:pPr>
              <w:pStyle w:val="Compact"/>
              <w:jc w:val="left"/>
            </w:pPr>
            <w:r>
              <w:t xml:space="preserve">Takes up methylene blue or Gentian violet</w:t>
            </w:r>
          </w:p>
        </w:tc>
      </w:tr>
      <w:tr>
        <w:tc>
          <w:tcPr/>
          <w:p>
            <w:pPr>
              <w:pStyle w:val="Compact"/>
              <w:jc w:val="left"/>
            </w:pPr>
            <w:r>
              <w:t xml:space="preserve">Transillumination</w:t>
            </w:r>
          </w:p>
        </w:tc>
        <w:tc>
          <w:tcPr/>
          <w:p>
            <w:pPr>
              <w:pStyle w:val="Compact"/>
              <w:jc w:val="left"/>
            </w:pPr>
            <w:r>
              <w:t xml:space="preserve">Light passes through</w:t>
            </w:r>
          </w:p>
        </w:tc>
        <w:tc>
          <w:tcPr/>
          <w:p>
            <w:pPr>
              <w:pStyle w:val="Compact"/>
              <w:jc w:val="left"/>
            </w:pPr>
            <w:r>
              <w:t xml:space="preserve">Light blocked at fracture plane (shadow)</w:t>
            </w:r>
          </w:p>
        </w:tc>
      </w:tr>
      <w:tr>
        <w:tc>
          <w:tcPr/>
          <w:p>
            <w:pPr>
              <w:pStyle w:val="Compact"/>
              <w:jc w:val="left"/>
            </w:pPr>
            <w:r>
              <w:t xml:space="preserve">Probing</w:t>
            </w:r>
          </w:p>
        </w:tc>
        <w:tc>
          <w:tcPr/>
          <w:p>
            <w:pPr>
              <w:pStyle w:val="Compact"/>
              <w:jc w:val="left"/>
            </w:pPr>
            <w:r>
              <w:t xml:space="preserve">Normal</w:t>
            </w:r>
          </w:p>
        </w:tc>
        <w:tc>
          <w:tcPr/>
          <w:p>
            <w:pPr>
              <w:pStyle w:val="Compact"/>
              <w:jc w:val="left"/>
            </w:pPr>
            <w:r>
              <w:t xml:space="preserve">Narrow isolated deep probing if involving PDL</w:t>
            </w:r>
          </w:p>
        </w:tc>
      </w:tr>
      <w:tr>
        <w:tc>
          <w:tcPr/>
          <w:p>
            <w:pPr>
              <w:pStyle w:val="Compact"/>
              <w:jc w:val="left"/>
            </w:pPr>
            <w:r>
              <w:t xml:space="preserve">Treatment</w:t>
            </w:r>
          </w:p>
        </w:tc>
        <w:tc>
          <w:tcPr/>
          <w:p>
            <w:pPr>
              <w:pStyle w:val="Compact"/>
              <w:jc w:val="left"/>
            </w:pPr>
            <w:r>
              <w:t xml:space="preserve">None</w:t>
            </w:r>
          </w:p>
        </w:tc>
        <w:tc>
          <w:tcPr/>
          <w:p>
            <w:pPr>
              <w:pStyle w:val="Compact"/>
              <w:jc w:val="left"/>
            </w:pPr>
            <w:r>
              <w:t xml:space="preserve">Depends on depth (see below)</w:t>
            </w:r>
          </w:p>
        </w:tc>
      </w:tr>
    </w:tbl>
    <w:p>
      <w:pPr>
        <w:pStyle w:val="BodyText"/>
      </w:pPr>
      <w:r>
        <w:t xml:space="preserve">Depth determines prognosis and treatment: crack limited to enamel → no treatment or crown for protection; crack extending to dentin but not the chamber → may respond to crown; crack reaching the pulp chamber → RCT + crown; crack propagating into the root → guarded to poor prognosis; VRF (vertical root fracture) → extraction (multirooted exception: root resection). {{cite: Kang 2016 — 5-year survival of cracked teeth: 95% without pulp chamber involvement, 81% with chamber involvement}}</w:t>
      </w:r>
    </w:p>
    <w:p>
      <w:pPr>
        <w:numPr>
          <w:ilvl w:val="0"/>
          <w:numId w:val="1023"/>
        </w:numPr>
        <w:pStyle w:val="Compact"/>
      </w:pPr>
      <w:r>
        <w:t xml:space="preserve">What is the prognosis for different crack patterns (cracked tooth, split tooth, VRF)?</w:t>
      </w:r>
    </w:p>
    <w:p>
      <w:pPr>
        <w:pStyle w:val="FirstParagraph"/>
      </w:pPr>
      <w:r>
        <w:t xml:space="preserve">Cracked teeth: 95% without pulpal chamber involvement at 5 years. 81% with chamber involvement at five years {{cite: Kang 2016 — 5-year survival of cracked teeth: 95% without chamber involvement, 81% with chamber involvement}}.</w:t>
      </w:r>
    </w:p>
    <w:p>
      <w:pPr>
        <w:numPr>
          <w:ilvl w:val="0"/>
          <w:numId w:val="1024"/>
        </w:numPr>
        <w:pStyle w:val="Compact"/>
      </w:pPr>
      <w:r>
        <w:t xml:space="preserve">{{cite: Sim — fracture extending to the pulpal floor decreases five-year survival by 11×}}</w:t>
      </w:r>
    </w:p>
    <w:p>
      <w:pPr>
        <w:pStyle w:val="FirstParagraph"/>
      </w:pPr>
      <w:r>
        <w:t xml:space="preserve">Split tooth: May be saved with root resection, but generally hopeless</w:t>
      </w:r>
    </w:p>
    <w:p>
      <w:pPr>
        <w:pStyle w:val="BodyText"/>
      </w:pPr>
      <w:r>
        <w:t xml:space="preserve">VRF: Hopeless unless it is a multirooted tooth in which the resected root can be removed, then &gt;90% survival over 10 years) {{cite: Carnevale 1998}}</w:t>
      </w:r>
    </w:p>
    <w:p>
      <w:pPr>
        <w:numPr>
          <w:ilvl w:val="0"/>
          <w:numId w:val="1025"/>
        </w:numPr>
        <w:pStyle w:val="Compact"/>
      </w:pPr>
      <w:r>
        <w:t xml:space="preserve">What role does transillumination play and what are its limitations?</w:t>
      </w:r>
    </w:p>
    <w:p>
      <w:pPr>
        <w:pStyle w:val="FirstParagraph"/>
      </w:pPr>
      <w:r>
        <w:t xml:space="preserve">Transillumination helps distinguish superficial craze lines from deeper cracks, but its usefulness is limited to coronal cracks and it does not reliably reveal the apical extent of a crack.</w:t>
      </w:r>
    </w:p>
    <w:p>
      <w:pPr>
        <w:numPr>
          <w:ilvl w:val="0"/>
          <w:numId w:val="1026"/>
        </w:numPr>
        <w:pStyle w:val="Compact"/>
      </w:pPr>
      <w:r>
        <w:t xml:space="preserve">What is the outcome of crowned cracked teeth?</w:t>
      </w:r>
    </w:p>
    <w:p>
      <w:pPr>
        <w:pStyle w:val="FirstParagraph"/>
      </w:pPr>
      <w:r>
        <w:t xml:space="preserve">21% of symptomatic vital cracked teeth that received crowns go on to develop irreversible pulpitis or necrosis (Krell and Rivera). 89% of patients with cracked teeth experience complete resolution of symptoms with full coverage temporary placement (Guthrie and DiFiore).</w:t>
      </w:r>
    </w:p>
    <w:bookmarkEnd w:id="25"/>
    <w:bookmarkStart w:id="26" w:name="X3702afb701d9c82d1cf24bb798152b91abbccb5"/>
    <w:p>
      <w:pPr>
        <w:pStyle w:val="Heading2"/>
      </w:pPr>
      <w:r>
        <w:t xml:space="preserve">1.4 Restorability Assessment</w:t>
      </w:r>
    </w:p>
    <w:p>
      <w:pPr>
        <w:numPr>
          <w:ilvl w:val="0"/>
          <w:numId w:val="1027"/>
        </w:numPr>
        <w:pStyle w:val="Compact"/>
      </w:pPr>
      <w:r>
        <w:t xml:space="preserve">What are the criteria for determining a tooth is non-restorable?</w:t>
      </w:r>
    </w:p>
    <w:p>
      <w:pPr>
        <w:pStyle w:val="FirstParagraph"/>
      </w:pPr>
      <w:r>
        <w:t xml:space="preserve">Restorative: Insufficient ferrule, deep/sub osseous caries, unfavorable crown to root ratio.</w:t>
      </w:r>
    </w:p>
    <w:p>
      <w:pPr>
        <w:pStyle w:val="BodyText"/>
      </w:pPr>
      <w:r>
        <w:t xml:space="preserve">Perio: Severe bone loss, grade III mobility, advanced non-cleansable furcation involvement</w:t>
      </w:r>
    </w:p>
    <w:p>
      <w:pPr>
        <w:pStyle w:val="BodyText"/>
      </w:pPr>
      <w:r>
        <w:t xml:space="preserve">VRFs, extensive/non-reparable root perforations, extensive resorption</w:t>
      </w:r>
    </w:p>
    <w:p>
      <w:pPr>
        <w:numPr>
          <w:ilvl w:val="0"/>
          <w:numId w:val="1028"/>
        </w:numPr>
        <w:pStyle w:val="Compact"/>
      </w:pPr>
      <w:r>
        <w:t xml:space="preserve">How does ferrule effect influence endodontic treatment decisions?</w:t>
      </w:r>
    </w:p>
    <w:p>
      <w:pPr>
        <w:pStyle w:val="FirstParagraph"/>
      </w:pPr>
      <w:r>
        <w:t xml:space="preserve">The recommended ferrule is 1.5–2 mm of vertical wall, circumferentially, to support the core and crown and resist fracture.</w:t>
      </w:r>
    </w:p>
    <w:p>
      <w:pPr>
        <w:numPr>
          <w:ilvl w:val="0"/>
          <w:numId w:val="1029"/>
        </w:numPr>
        <w:pStyle w:val="Compact"/>
      </w:pPr>
      <w:r>
        <w:t xml:space="preserve">When should crown lengthening be considered vs. extraction?</w:t>
      </w:r>
    </w:p>
    <w:p>
      <w:pPr>
        <w:pStyle w:val="FirstParagraph"/>
      </w:pPr>
      <w:r>
        <w:t xml:space="preserve">When 3 mm of biologic width can be established without compromising esthetics or causing a &lt;1:1 crown: root ratio.</w:t>
      </w:r>
    </w:p>
    <w:bookmarkEnd w:id="26"/>
    <w:bookmarkStart w:id="27" w:name="Xe15f2282c79a301fb030b8001e6e8602c134d30"/>
    <w:p>
      <w:pPr>
        <w:pStyle w:val="Heading2"/>
      </w:pPr>
      <w:r>
        <w:t xml:space="preserve">1.5 Periodontal-Endodontic Lesion Differentiation</w:t>
      </w:r>
    </w:p>
    <w:p>
      <w:pPr>
        <w:numPr>
          <w:ilvl w:val="0"/>
          <w:numId w:val="1030"/>
        </w:numPr>
        <w:pStyle w:val="Compact"/>
      </w:pPr>
      <w:r>
        <w:t xml:space="preserve">What are the distinguishing features of primary endodontic vs. primary periodontal lesions?</w:t>
      </w:r>
    </w:p>
    <w:p>
      <w:pPr>
        <w:pStyle w:val="FirstParagraph"/>
      </w:pPr>
      <w:r>
        <w:t xml:space="preserve">The key diagnostic feature is pulp vitality testing: a vital pulp rules out a primary endodontic etiology. Clinically, a narrow, deep isolated probing depth suggests an endodontic source (sinus tract draining through the PDL), while broad, widespread bone loss is characteristic of a primary periodontal origin. In a primary endodontic lesion with secondary periodontal involvement (Simon classification), the endodontic lesion drains through the PDL pocket, producing a narrow, deep, isolated probing depth. Harrington described this as a sinus tract through the PDL space originating from a periapical or lateral lesion — treatment with endodontic therapy alone is appropriate {{cite: Harrington — Primary endo lesion draining via PDL produces narrow isolated probing; endodontic tx alone is appropriate}}.</w:t>
      </w:r>
    </w:p>
    <w:p>
      <w:pPr>
        <w:pStyle w:val="BodyText"/>
      </w:pPr>
      <w:r>
        <w:t xml:space="preserve">Theoretically, extensive periodontal involvement could cause endodontic disease (primary perio, secondary endo — Simon classification). However, Langeland found that periodontal pathology is unlikely to cause endodontic involvement UNLESS the lesion reaches the apex {{cite: Langeland — Perio pathology unlikely to cause endo involvement unless lesion reaches the apex}}. Supporting this, Neves (2017) found that once periodontal bone loss nears the apex, pulp sensitivity responses are affected, suggesting degenerative pulpal changes {{cite: Neves 2017 — Once perio bone loss nears the apex, pulp sensitivity is affected, suggesting pulpal degeneration}}.</w:t>
      </w:r>
    </w:p>
    <w:p>
      <w:pPr>
        <w:numPr>
          <w:ilvl w:val="0"/>
          <w:numId w:val="1031"/>
        </w:numPr>
        <w:pStyle w:val="Compact"/>
      </w:pPr>
      <w:r>
        <w:t xml:space="preserve">How does treatment sequence differ for combined lesions?</w:t>
      </w:r>
    </w:p>
    <w:p>
      <w:pPr>
        <w:pStyle w:val="FirstParagraph"/>
      </w:pPr>
      <w:r>
        <w:t xml:space="preserve">Gupta found faster healing when periodontal therapy is performed concurrently with endodontic therapy in noncommunicating endo-perio pathosis {{cite: Gupta — Concurrent perio and endo therapy yields faster healing in noncommunicating endo-perio lesions}}. Harrington established there is no reason to expect reduced success of periodontal procedures in endodontically treated teeth. Expedient treatment of both diseases simultaneously improves outcomes.</w:t>
      </w:r>
    </w:p>
    <w:p>
      <w:pPr>
        <w:numPr>
          <w:ilvl w:val="0"/>
          <w:numId w:val="1032"/>
        </w:numPr>
        <w:pStyle w:val="Compact"/>
      </w:pPr>
      <w:r>
        <w:t xml:space="preserve">What is the prognosis for true combined lesions?</w:t>
      </w:r>
    </w:p>
    <w:p>
      <w:pPr>
        <w:pStyle w:val="FirstParagraph"/>
      </w:pPr>
      <w:r>
        <w:t xml:space="preserve">True combined lesions — where independent endodontic and periodontal infections extend enough to coalesce — do exist but are rare (Harrington). Vertical root fractures (VRFs) and perforations can clinically mimic combined endo-perio lesions but are NOT true combined lesions and carry a substantially worse prognosis. True combined lesions have a guarded prognosis depending on the extent of periodontal destruction and the patient's response to periodontal therapy after endodontic treatment.</w:t>
      </w:r>
    </w:p>
    <w:p>
      <w:pPr>
        <w:numPr>
          <w:ilvl w:val="0"/>
          <w:numId w:val="1033"/>
        </w:numPr>
        <w:pStyle w:val="Compact"/>
      </w:pPr>
      <w:r>
        <w:t xml:space="preserve">How do you evaluate healing in endo-perio cases?</w:t>
      </w:r>
    </w:p>
    <w:p>
      <w:pPr>
        <w:pStyle w:val="FirstParagraph"/>
      </w:pPr>
      <w:r>
        <w:t xml:space="preserve">Healing is evaluated by resolution of symptoms, probing depth reduction, and radiographic bone fill over time. After endodontic treatment of a primary endodontic lesion, the isolated deep pocket should improve if the periodontal component is truly secondary. Persistent or worsening probing depths after endodontic treatment suggest a true combined lesion or an unresolved primary periodontal component requiring periodontal therapy.</w:t>
      </w:r>
    </w:p>
    <w:bookmarkEnd w:id="27"/>
    <w:bookmarkStart w:id="28" w:name="X862f5e2728e18cac0b7e7a0349eb14d2942615b"/>
    <w:p>
      <w:pPr>
        <w:pStyle w:val="Heading2"/>
      </w:pPr>
      <w:r>
        <w:t xml:space="preserve">1.6 When to Refer vs. Treat</w:t>
      </w:r>
    </w:p>
    <w:p>
      <w:pPr>
        <w:numPr>
          <w:ilvl w:val="0"/>
          <w:numId w:val="1034"/>
        </w:numPr>
        <w:pStyle w:val="Compact"/>
      </w:pPr>
      <w:r>
        <w:t xml:space="preserve">What case complexity factors warrant referral to an endodontist?</w:t>
      </w:r>
    </w:p>
    <w:p>
      <w:pPr>
        <w:pStyle w:val="FirstParagraph"/>
      </w:pPr>
      <w:r>
        <w:t xml:space="preserve">The fundamental principle is that when a case exceeds the clinician's skill, experience, or equipment, referral to an endodontist is appropriate. Attempting cases beyond one's training increases the risk of procedural accidents, irreversible damage, and suboptimal outcomes.</w:t>
      </w:r>
    </w:p>
    <w:p>
      <w:pPr>
        <w:numPr>
          <w:ilvl w:val="0"/>
          <w:numId w:val="1035"/>
        </w:numPr>
        <w:pStyle w:val="Compact"/>
      </w:pPr>
      <w:r>
        <w:t xml:space="preserve">How does the AAE case difficulty assessment form guide referral decisions?</w:t>
      </w:r>
    </w:p>
    <w:p>
      <w:pPr>
        <w:pStyle w:val="FirstParagraph"/>
      </w:pPr>
      <w:r>
        <w:t xml:space="preserve">The AAE Case Difficulty Assessment Form categorizes cases as Minimal, Moderate, or High difficulty. Minimal difficulty cases are straightforward single-rooted anterior teeth with no complicating factors. Moderate difficulty includes cases with moderate curvature (10–30°), posterior molars, or patients with limited opening. High difficulty cases include: calcified canals, severe canal curvature (&gt;30°) or S-curve anatomy, retreatment of previously treated teeth, previous procedural accidents (instrument separation, perforation), anatomic anomalies (dens invaginatus, dilaceration), internal or external resorption, significantly limited opening (trismus), and proximity to vital anatomical structures (IAN, maxillary sinus, mental foramen).</w:t>
      </w:r>
    </w:p>
    <w:p>
      <w:pPr>
        <w:numPr>
          <w:ilvl w:val="0"/>
          <w:numId w:val="1036"/>
        </w:numPr>
        <w:pStyle w:val="Compact"/>
      </w:pPr>
      <w:r>
        <w:t xml:space="preserve">What anatomical considerations increase case difficulty?</w:t>
      </w:r>
    </w:p>
    <w:p>
      <w:pPr>
        <w:pStyle w:val="FirstParagraph"/>
      </w:pPr>
      <w:r>
        <w:t xml:space="preserve">High-difficulty anatomical factors include severely curved or calcified canals, S-curve morphology, dens invaginatus, dilaceration, C-shaped canals, fused roots, internal or external resorption defects, and teeth with previous procedural complications. Proximity to the inferior alveolar nerve, mental foramen, or maxillary sinus also elevates case complexity. Retreatment cases with posts, separated instruments, or prior transportation are inherently more complex.</w:t>
      </w:r>
    </w:p>
    <w:bookmarkEnd w:id="28"/>
    <w:bookmarkEnd w:id="29"/>
    <w:bookmarkStart w:id="37" w:name="X10807da5060ff971c5553c14533fa13cd56db05"/>
    <w:p>
      <w:pPr>
        <w:pStyle w:val="Heading1"/>
      </w:pPr>
      <w:r>
        <w:t xml:space="preserve">2. Treatment Planning</w:t>
      </w:r>
    </w:p>
    <w:bookmarkStart w:id="30" w:name="X930519a6287641b5bfc834a14017aa4f5d97333"/>
    <w:p>
      <w:pPr>
        <w:pStyle w:val="Heading2"/>
      </w:pPr>
      <w:r>
        <w:t xml:space="preserve">2.1 Extraction vs. Endodontic Treatment</w:t>
      </w:r>
    </w:p>
    <w:p>
      <w:pPr>
        <w:numPr>
          <w:ilvl w:val="0"/>
          <w:numId w:val="1037"/>
        </w:numPr>
        <w:pStyle w:val="Compact"/>
      </w:pPr>
      <w:r>
        <w:t xml:space="preserve">What factors favor endodontic treatment over extraction and implant?</w:t>
      </w:r>
    </w:p>
    <w:p>
      <w:pPr>
        <w:pStyle w:val="FirstParagraph"/>
      </w:pPr>
      <w:r>
        <w:t xml:space="preserve">Factors that favor endodontic treatment include: adequate bone support around the tooth, restorability of the crown, strategic value of the tooth (abutment for bridge, terminal molar), patient preference for retaining natural dentition, and medical conditions that complicate implant surgery (bisphosphonate use, radiation, bleeding disorders). Conversely, factors favoring extraction/implant include: inability to restore the tooth, severe periodontal disease, vertical root fracture, and unfavorable crown-to-root ratio. Teeth with a history of trauma may have reduced long-term prognosis due to increased fracture susceptibility {{cite: Nattress and Martin 1994 — traumatized teeth have higher fracture susceptibility than non-traumatized teeth}}.</w:t>
      </w:r>
    </w:p>
    <w:p>
      <w:pPr>
        <w:numPr>
          <w:ilvl w:val="0"/>
          <w:numId w:val="1038"/>
        </w:numPr>
        <w:pStyle w:val="Compact"/>
      </w:pPr>
      <w:r>
        <w:t xml:space="preserve">How do survival rates of endodontically treated teeth compare to implants?</w:t>
      </w:r>
    </w:p>
    <w:p>
      <w:pPr>
        <w:pStyle w:val="FirstParagraph"/>
      </w:pPr>
      <w:r>
        <w:t xml:space="preserve">Implants and root canals both have an absolute failure rate of 6.1% {{cite: Doyle 2006 — implants and root canals both have an absolute failure rate of 6.1%}}. The survival rate of endodontically treated teeth is 97% {{cite: Salehrabi and Rotstein — 97% survival of endodontically treated teeth in large insurance database study}}. However, some factors decrease success, including necrotic pulp, furcation involvement, and poor restorability.</w:t>
      </w:r>
    </w:p>
    <w:p>
      <w:pPr>
        <w:numPr>
          <w:ilvl w:val="0"/>
          <w:numId w:val="1039"/>
        </w:numPr>
        <w:pStyle w:val="Compact"/>
      </w:pPr>
      <w:r>
        <w:t xml:space="preserve">What are the cost-effectiveness considerations?</w:t>
      </w:r>
    </w:p>
    <w:p>
      <w:pPr>
        <w:pStyle w:val="FirstParagraph"/>
      </w:pPr>
      <w:r>
        <w:t xml:space="preserve">Endodontic treatment followed by a crown is generally less costly in the short term than extraction and implant placement. {{cite: Torabinejad 2007 — endodontic treatment is more cost-effective than extraction and implant in most clinical scenarios}}. Over a 5-year horizon, maintaining the natural tooth via root canal therapy typically represents significant cost savings compared to extraction, implant placement, and crown restoration, particularly when accounting for bone grafting requirements.</w:t>
      </w:r>
    </w:p>
    <w:p>
      <w:pPr>
        <w:numPr>
          <w:ilvl w:val="0"/>
          <w:numId w:val="1040"/>
        </w:numPr>
        <w:pStyle w:val="Compact"/>
      </w:pPr>
      <w:r>
        <w:t xml:space="preserve">How does strategic value of the tooth influence the decision?</w:t>
      </w:r>
    </w:p>
    <w:p>
      <w:pPr>
        <w:pStyle w:val="FirstParagraph"/>
      </w:pPr>
      <w:r>
        <w:t xml:space="preserve">Strategic value must be weighed heavily: a terminal abutment for a fixed partial denture, a lone-standing molar, or a canine used as a distal stop for a removable partial denture all warrant aggressive effort to preserve. Loss of such a tooth often triggers a cascade of restorative consequences disproportionate to the cost of endodontic treatment. Conversely, a tooth with poor periodontal support that is not strategically important may be better managed by extraction.</w:t>
      </w:r>
    </w:p>
    <w:bookmarkEnd w:id="30"/>
    <w:bookmarkStart w:id="31" w:name="X769d30385b8191c090771b72aed9584da538104"/>
    <w:p>
      <w:pPr>
        <w:pStyle w:val="Heading2"/>
      </w:pPr>
      <w:r>
        <w:t xml:space="preserve">2.2 Non-Surgical vs. Surgical Approach</w:t>
      </w:r>
    </w:p>
    <w:p>
      <w:pPr>
        <w:numPr>
          <w:ilvl w:val="0"/>
          <w:numId w:val="1041"/>
        </w:numPr>
        <w:pStyle w:val="Compact"/>
      </w:pPr>
      <w:r>
        <w:t xml:space="preserve">What are the indications for primary surgical endodontics?</w:t>
      </w:r>
    </w:p>
    <w:p>
      <w:pPr>
        <w:pStyle w:val="FirstParagraph"/>
      </w:pPr>
      <w:r>
        <w:t xml:space="preserve">According to Kim and Kratchman:</w:t>
      </w:r>
    </w:p>
    <w:p>
      <w:pPr>
        <w:numPr>
          <w:ilvl w:val="0"/>
          <w:numId w:val="1042"/>
        </w:numPr>
      </w:pPr>
      <w:r>
        <w:t xml:space="preserve">Post dilemma: Surgery can be more conservative than removing posts if the post and crown are intact.</w:t>
      </w:r>
    </w:p>
    <w:p>
      <w:pPr>
        <w:numPr>
          <w:ilvl w:val="0"/>
          <w:numId w:val="1042"/>
        </w:numPr>
      </w:pPr>
      <w:r>
        <w:t xml:space="preserve">True Cysts</w:t>
      </w:r>
    </w:p>
    <w:p>
      <w:pPr>
        <w:numPr>
          <w:ilvl w:val="0"/>
          <w:numId w:val="1042"/>
        </w:numPr>
      </w:pPr>
      <w:r>
        <w:t xml:space="preserve">Anatomic complexities (isthmuses that cannot be cleaned via orthograde approach)</w:t>
      </w:r>
    </w:p>
    <w:p>
      <w:pPr>
        <w:numPr>
          <w:ilvl w:val="0"/>
          <w:numId w:val="1043"/>
        </w:numPr>
        <w:pStyle w:val="Compact"/>
      </w:pPr>
      <w:r>
        <w:t xml:space="preserve">When should non-surgical retreatment be attempted before surgery?</w:t>
      </w:r>
    </w:p>
    <w:p>
      <w:pPr>
        <w:pStyle w:val="FirstParagraph"/>
      </w:pPr>
      <w:r>
        <w:t xml:space="preserve">Generally, retreatment should always be attempted first before surgery. Retreatment should pre performed first if there are missed canals, insufficient obturation, insufficient length and taper of canal preparations.</w:t>
      </w:r>
    </w:p>
    <w:p>
      <w:pPr>
        <w:numPr>
          <w:ilvl w:val="0"/>
          <w:numId w:val="1044"/>
        </w:numPr>
        <w:pStyle w:val="Compact"/>
      </w:pPr>
      <w:r>
        <w:t xml:space="preserve">How do success rates compare between non-surgical and surgical approaches?</w:t>
      </w:r>
    </w:p>
    <w:p>
      <w:pPr>
        <w:pStyle w:val="FirstParagraph"/>
      </w:pPr>
      <w:r>
        <w:t xml:space="preserve">Torabinejad et al (2009) found that surgery had a success rate of 77.8% and non-surgical retreatment had a success rate of 70.9% in the short term 2 to 4 years.</w:t>
      </w:r>
    </w:p>
    <w:p>
      <w:pPr>
        <w:numPr>
          <w:ilvl w:val="0"/>
          <w:numId w:val="1045"/>
        </w:numPr>
        <w:pStyle w:val="Compact"/>
      </w:pPr>
      <w:r>
        <w:t xml:space="preserve">What anatomical factors favor one approach over another?</w:t>
      </w:r>
    </w:p>
    <w:p>
      <w:pPr>
        <w:pStyle w:val="FirstParagraph"/>
      </w:pPr>
      <w:r>
        <w:t xml:space="preserve">Severe curvatures, isthmuses, obstructed canals, perforations favor surgical approach</w:t>
      </w:r>
    </w:p>
    <w:bookmarkEnd w:id="31"/>
    <w:bookmarkStart w:id="32" w:name="X3ef504691fff196ac5f5d7e01a2ab6becb04019"/>
    <w:p>
      <w:pPr>
        <w:pStyle w:val="Heading2"/>
      </w:pPr>
      <w:r>
        <w:t xml:space="preserve">2.3 Single Visit vs. Multiple Visit Treatment</w:t>
      </w:r>
    </w:p>
    <w:p>
      <w:pPr>
        <w:numPr>
          <w:ilvl w:val="0"/>
          <w:numId w:val="1046"/>
        </w:numPr>
        <w:pStyle w:val="Compact"/>
      </w:pPr>
      <w:r>
        <w:t xml:space="preserve">What does the evidence show regarding outcomes of single vs. multiple visit RCT?</w:t>
      </w:r>
    </w:p>
    <w:p>
      <w:pPr>
        <w:pStyle w:val="FirstParagraph"/>
      </w:pPr>
      <w:r>
        <w:t xml:space="preserve">The evidence is mixed across all three relevant outcomes. Calcium hydroxide's contribution to clinically meaningful bacterial reduction between visits is not clearly established {{cite: Sathorn 2007 — systematic review found insufficient evidence that Ca(OH)2 between visits significantly reduces intracanal bacteria compared to no medicament in clinical studies}}. Studies comparing single- versus multiple-visit protocols have not demonstrated a consistent difference in post-operative pain. Su et al.'s meta-analysis found no difference in overall survival or periapical healing between single- and multiple-visit treatment.</w:t>
      </w:r>
    </w:p>
    <w:p>
      <w:pPr>
        <w:numPr>
          <w:ilvl w:val="0"/>
          <w:numId w:val="1047"/>
        </w:numPr>
        <w:pStyle w:val="Compact"/>
      </w:pPr>
      <w:r>
        <w:t xml:space="preserve">What clinical scenarios favor multiple visit treatment?</w:t>
      </w:r>
    </w:p>
    <w:p>
      <w:pPr>
        <w:pStyle w:val="FirstParagraph"/>
      </w:pPr>
      <w:r>
        <w:t xml:space="preserve">Multiple visits are favored when:</w:t>
      </w:r>
    </w:p>
    <w:p>
      <w:pPr>
        <w:numPr>
          <w:ilvl w:val="0"/>
          <w:numId w:val="1048"/>
        </w:numPr>
      </w:pPr>
      <w:r>
        <w:t xml:space="preserve">The canal cannot be dried adequately before obturation</w:t>
      </w:r>
    </w:p>
    <w:p>
      <w:pPr>
        <w:numPr>
          <w:ilvl w:val="0"/>
          <w:numId w:val="1048"/>
        </w:numPr>
      </w:pPr>
      <w:r>
        <w:t xml:space="preserve">A persistent sinus tract has not resolved</w:t>
      </w:r>
    </w:p>
    <w:p>
      <w:pPr>
        <w:numPr>
          <w:ilvl w:val="0"/>
          <w:numId w:val="1048"/>
        </w:numPr>
      </w:pPr>
      <w:r>
        <w:t xml:space="preserve">Active, purulent drainage is present through the canal</w:t>
      </w:r>
    </w:p>
    <w:p>
      <w:pPr>
        <w:numPr>
          <w:ilvl w:val="0"/>
          <w:numId w:val="1048"/>
        </w:numPr>
      </w:pPr>
      <w:r>
        <w:t xml:space="preserve">The case cannot be completed safely in the time available</w:t>
      </w:r>
    </w:p>
    <w:p>
      <w:pPr>
        <w:numPr>
          <w:ilvl w:val="0"/>
          <w:numId w:val="1048"/>
        </w:numPr>
      </w:pPr>
      <w:r>
        <w:t xml:space="preserve">How does diagnosis (vital vs. necrotic) influence visit number?</w:t>
      </w:r>
    </w:p>
    <w:p>
      <w:pPr>
        <w:pStyle w:val="FirstParagraph"/>
      </w:pPr>
      <w:r>
        <w:t xml:space="preserve">Several studies show no statistically significant difference in outcomes between single- and multiple-visit treatment regardless of pulpal diagnosis.</w:t>
      </w:r>
    </w:p>
    <w:p>
      <w:pPr>
        <w:numPr>
          <w:ilvl w:val="0"/>
          <w:numId w:val="1049"/>
        </w:numPr>
        <w:pStyle w:val="Compact"/>
      </w:pPr>
      <w:r>
        <w:t xml:space="preserve">What is the role of inter-appointment medicaments?</w:t>
      </w:r>
    </w:p>
    <w:p>
      <w:pPr>
        <w:pStyle w:val="FirstParagraph"/>
      </w:pPr>
      <w:r>
        <w:t xml:space="preserve">Calcium hydroxide is the most commonly used inter-appointment medicament. Its properties include:</w:t>
      </w:r>
    </w:p>
    <w:p>
      <w:pPr>
        <w:numPr>
          <w:ilvl w:val="0"/>
          <w:numId w:val="1050"/>
        </w:numPr>
        <w:pStyle w:val="Compact"/>
      </w:pPr>
      <w:r>
        <w:t xml:space="preserve">High alkalinity (pH 11–12), which provides broad-spectrum antibacterial activity — though</w:t>
      </w:r>
      <w:r>
        <w:t xml:space="preserve"> </w:t>
      </w:r>
      <w:r>
        <w:rPr>
          <w:iCs/>
          <w:i/>
        </w:rPr>
        <w:t xml:space="preserve">E. faecalis</w:t>
      </w:r>
      <w:r>
        <w:t xml:space="preserve"> </w:t>
      </w:r>
      <w:r>
        <w:t xml:space="preserve">can tolerate this environment via its proton pump {{cite: Evans 2002 — E. faecalis survives high-pH Ca(OH)2 environments via a membrane-bound H⁺-ATPase that actively extrudes hydroxyl ions, maintaining near-neutral intracellular pH}}</w:t>
      </w:r>
    </w:p>
    <w:p>
      <w:pPr>
        <w:numPr>
          <w:ilvl w:val="0"/>
          <w:numId w:val="1050"/>
        </w:numPr>
        <w:pStyle w:val="Compact"/>
      </w:pPr>
      <w:r>
        <w:t xml:space="preserve">Neutralization of bacterial LPS, dampening the host inflammatory response</w:t>
      </w:r>
    </w:p>
    <w:p>
      <w:pPr>
        <w:numPr>
          <w:ilvl w:val="0"/>
          <w:numId w:val="1050"/>
        </w:numPr>
        <w:pStyle w:val="Compact"/>
      </w:pPr>
      <w:r>
        <w:t xml:space="preserve">Dissolution of residual pulp tissue and organic debris</w:t>
      </w:r>
    </w:p>
    <w:p>
      <w:pPr>
        <w:numPr>
          <w:ilvl w:val="0"/>
          <w:numId w:val="1050"/>
        </w:numPr>
        <w:pStyle w:val="Compact"/>
      </w:pPr>
      <w:r>
        <w:t xml:space="preserve">Relatively low cytotoxicity to apical papilla cells, making it well-suited for regenerative endodontic protocols</w:t>
      </w:r>
    </w:p>
    <w:bookmarkEnd w:id="32"/>
    <w:bookmarkStart w:id="33" w:name="Xd46cc7c932df3b47ac2beefcb8fe21db59f537b"/>
    <w:p>
      <w:pPr>
        <w:pStyle w:val="Heading2"/>
      </w:pPr>
      <w:r>
        <w:t xml:space="preserve">2.4 Vital Pulp Therapy Candidacy</w:t>
      </w:r>
    </w:p>
    <w:p>
      <w:pPr>
        <w:pStyle w:val="FirstParagraph"/>
      </w:pPr>
      <w:r>
        <w:rPr>
          <w:bCs/>
          <w:b/>
        </w:rPr>
        <w:t xml:space="preserve">Clinical threshold note:</w:t>
      </w:r>
      <w:r>
        <w:t xml:space="preserve"> </w:t>
      </w:r>
      <w:r>
        <w:t xml:space="preserve">VPT is appropriate only when all candidacy criteria are met with high diagnostic confidence. In adult patients presenting with deep carious lesions — the most common real-world scenario — two factors shift the balance toward RCT: (1) exposure type is the strongest predictor of VPT success, and carious exposures perform substantially worse than mechanical/iatrogenic ones because bacteria precede the exposure and contaminate the pulp before the clinician arrives {{cite: Mente 2010 — MTA DPC showed 89.9% success vs 63.3% for calcium hydroxide; success rates are weighted toward mechanical exposures and lower for carious exposures}}; (2) clinical pulpal diagnosis correlates imperfectly with histology — approximately 15% of pulp diagnoses may be incorrect {{cite: Ricucci 2014 — 84–97% clinical-histologic correlation for pulp diagnosis; up to 15% of diagnoses may not match the true histologic pulpal status}}, meaning a tooth diagnosed as reversibly inflamed may already have irreversible radicular involvement. A failed VPT does not merely return the tooth to baseline — it produces a calcifying canal system that is harder to instrument and obturate. In ambiguous adult carious cases where irreversible pulpitis cannot be confidently excluded, RCT eliminates diagnostic uncertainty and avoids the compounding consequence of treatment escalation.</w:t>
      </w:r>
    </w:p>
    <w:p>
      <w:pPr>
        <w:numPr>
          <w:ilvl w:val="0"/>
          <w:numId w:val="1051"/>
        </w:numPr>
        <w:pStyle w:val="Compact"/>
      </w:pPr>
      <w:r>
        <w:t xml:space="preserve">What are the indications for indirect pulp capping?</w:t>
      </w:r>
    </w:p>
    <w:p>
      <w:pPr>
        <w:pStyle w:val="FirstParagraph"/>
      </w:pPr>
      <w:r>
        <w:t xml:space="preserve">Indirect pulp capping (IPC) is indicated when a deep carious lesion approaches the pulp but there is no radiographic or clinical evidence of pulp pathology (no spontaneous pain, sinus tract, pathologic mobility, or periapical changes). The tooth must be symptom-free or have symptoms consistent only with reversible pulpitis. The rationale is to leave a thin layer of carious dentin over the pulp to avoid exposure while placing a biocompatible liner (e.g., calcium hydroxide or MTA) to stimulate reparative dentin formation. {{cite: Maltz 2012 — stepwise excavation and indirect pulp capping showed 91% success at 3 years in randomized controlled trial}}.</w:t>
      </w:r>
    </w:p>
    <w:p>
      <w:pPr>
        <w:numPr>
          <w:ilvl w:val="0"/>
          <w:numId w:val="1052"/>
        </w:numPr>
        <w:pStyle w:val="Compact"/>
      </w:pPr>
      <w:r>
        <w:t xml:space="preserve">What clinical criteria determine direct pulp cap candidacy?</w:t>
      </w:r>
    </w:p>
    <w:p>
      <w:pPr>
        <w:pStyle w:val="FirstParagraph"/>
      </w:pPr>
      <w:r>
        <w:t xml:space="preserve">Direct pulp capping (DPC) is most likely to succeed when: the pulp exposure is small (&lt;1 mm), mechanical rather than carious (e.g., from instrumentation), bleeding is controlled and not profuse or dark (indicating normal vital pulp), the patient is relatively young (better healing capacity), and there are no signs of irreversible pulpitis. Carious exposures carry a higher risk of failure because bacteria already contaminate the pulp prior to exposure. {{cite: Mente 2010 — MTA direct pulp cap showed 89.9% success vs 63.3% for calcium hydroxide at 5 years}}. {{cite: Dammaschke 2010 — long-term success of direct pulp capping with calcium hydroxide drops to 37% at 10 years}}.</w:t>
      </w:r>
    </w:p>
    <w:p>
      <w:pPr>
        <w:numPr>
          <w:ilvl w:val="0"/>
          <w:numId w:val="1053"/>
        </w:numPr>
        <w:pStyle w:val="Compact"/>
      </w:pPr>
      <w:r>
        <w:t xml:space="preserve">How long should you wait for hemostasis after pulp exposure, and what does the bleeding response tell you?</w:t>
      </w:r>
    </w:p>
    <w:p>
      <w:pPr>
        <w:pStyle w:val="FirstParagraph"/>
      </w:pPr>
      <w:r>
        <w:t xml:space="preserve">Achieving hemostasis within</w:t>
      </w:r>
      <w:r>
        <w:t xml:space="preserve"> </w:t>
      </w:r>
      <w:r>
        <w:rPr>
          <w:bCs/>
          <w:b/>
        </w:rPr>
        <w:t xml:space="preserve">5 minutes</w:t>
      </w:r>
      <w:r>
        <w:t xml:space="preserve"> </w:t>
      </w:r>
      <w:r>
        <w:t xml:space="preserve">of gentle pressure with a sterile cotton pellet moistened with saline or 6% NaOCl is the clinical go/no-go threshold for proceeding with VPT. If bleeding does not stop within 5 minutes, the inflammation extends beyond the exposure site into the radicular pulp — the clinical diagnosis should be revised to irreversible pulpitis and the procedure abandoned in favor of pulpectomy {{cite: ESE de Souza 2021 — ESE vital pulp therapy position statement: hemostasis within 5 minutes is the clinical threshold for proceeding with VPT; failure to achieve hemostasis indicates irreversible radicular inflammation}}.</w:t>
      </w:r>
    </w:p>
    <w:p>
      <w:pPr>
        <w:pStyle w:val="BodyText"/>
      </w:pPr>
      <w:r>
        <w:t xml:space="preserve">The quality of bleeding is equally informative: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Bleeding Character</w:t>
            </w:r>
          </w:p>
        </w:tc>
        <w:tc>
          <w:tcPr/>
          <w:p>
            <w:pPr>
              <w:pStyle w:val="Compact"/>
              <w:jc w:val="left"/>
            </w:pPr>
            <w:r>
              <w:t xml:space="preserve">Interpretation</w:t>
            </w:r>
          </w:p>
        </w:tc>
        <w:tc>
          <w:tcPr/>
          <w:p>
            <w:pPr>
              <w:pStyle w:val="Compact"/>
              <w:jc w:val="left"/>
            </w:pPr>
            <w:r>
              <w:t xml:space="preserve">Action</w:t>
            </w:r>
          </w:p>
        </w:tc>
      </w:tr>
      <w:tr>
        <w:tc>
          <w:tcPr/>
          <w:p>
            <w:pPr>
              <w:pStyle w:val="Compact"/>
              <w:jc w:val="left"/>
            </w:pPr>
            <w:r>
              <w:t xml:space="preserve">Bright red, stops within 5 min</w:t>
            </w:r>
          </w:p>
        </w:tc>
        <w:tc>
          <w:tcPr/>
          <w:p>
            <w:pPr>
              <w:pStyle w:val="Compact"/>
              <w:jc w:val="left"/>
            </w:pPr>
            <w:r>
              <w:t xml:space="preserve">Healthy superficial pulp, reversible zone</w:t>
            </w:r>
          </w:p>
        </w:tc>
        <w:tc>
          <w:tcPr/>
          <w:p>
            <w:pPr>
              <w:pStyle w:val="Compact"/>
              <w:jc w:val="left"/>
            </w:pPr>
            <w:r>
              <w:t xml:space="preserve">Proceed with VPT</w:t>
            </w:r>
          </w:p>
        </w:tc>
      </w:tr>
      <w:tr>
        <w:tc>
          <w:tcPr/>
          <w:p>
            <w:pPr>
              <w:pStyle w:val="Compact"/>
              <w:jc w:val="left"/>
            </w:pPr>
            <w:r>
              <w:t xml:space="preserve">Dark, sluggish, or does not stop within 5 min</w:t>
            </w:r>
          </w:p>
        </w:tc>
        <w:tc>
          <w:tcPr/>
          <w:p>
            <w:pPr>
              <w:pStyle w:val="Compact"/>
              <w:jc w:val="left"/>
            </w:pPr>
            <w:r>
              <w:t xml:space="preserve">Irreversible inflammatory infiltration</w:t>
            </w:r>
          </w:p>
        </w:tc>
        <w:tc>
          <w:tcPr/>
          <w:p>
            <w:pPr>
              <w:pStyle w:val="Compact"/>
              <w:jc w:val="left"/>
            </w:pPr>
            <w:r>
              <w:t xml:space="preserve">Abandon VPT → pulpectomy/RCT</w:t>
            </w:r>
          </w:p>
        </w:tc>
      </w:tr>
      <w:tr>
        <w:tc>
          <w:tcPr/>
          <w:p>
            <w:pPr>
              <w:pStyle w:val="Compact"/>
              <w:jc w:val="left"/>
            </w:pPr>
            <w:r>
              <w:t xml:space="preserve">Profuse, uncontrolled</w:t>
            </w:r>
          </w:p>
        </w:tc>
        <w:tc>
          <w:tcPr/>
          <w:p>
            <w:pPr>
              <w:pStyle w:val="Compact"/>
              <w:jc w:val="left"/>
            </w:pPr>
            <w:r>
              <w:t xml:space="preserve">Deep necrosis, suppuration, or abscess</w:t>
            </w:r>
          </w:p>
        </w:tc>
        <w:tc>
          <w:tcPr/>
          <w:p>
            <w:pPr>
              <w:pStyle w:val="Compact"/>
              <w:jc w:val="left"/>
            </w:pPr>
            <w:r>
              <w:t xml:space="preserve">Contraindicated</w:t>
            </w:r>
          </w:p>
        </w:tc>
      </w:tr>
    </w:tbl>
    <w:p>
      <w:pPr>
        <w:pStyle w:val="BodyText"/>
      </w:pPr>
      <w:r>
        <w:rPr>
          <w:bCs/>
          <w:b/>
        </w:rPr>
        <w:t xml:space="preserve">Why NaOCl rather than saline?</w:t>
      </w:r>
      <w:r>
        <w:t xml:space="preserve"> </w:t>
      </w:r>
      <w:r>
        <w:t xml:space="preserve">A cotton pellet wetted with 6% NaOCl simultaneously lyses surface organic debris at the wound edge and achieves hemostasis, producing a cleaner preparation surface before bioceramic placement. Some protocols use 3% NaOCl to reduce cytotoxicity while retaining this dual effect. Ferric sulfate is not recommended as a hemostatic agent for VPT because it leaves a residue that impairs the biocompatibility of the capping interface.</w:t>
      </w:r>
    </w:p>
    <w:p>
      <w:pPr>
        <w:pStyle w:val="BodyText"/>
      </w:pPr>
      <w:r>
        <w:rPr>
          <w:bCs/>
          <w:b/>
        </w:rPr>
        <w:t xml:space="preserve">For full pulpotomy</w:t>
      </w:r>
      <w:r>
        <w:t xml:space="preserve"> </w:t>
      </w:r>
      <w:r>
        <w:t xml:space="preserve">(entire coronal pulp removed), the 5-minute threshold applies to each successive amputation level. If hemostasis is not achieved at the coronal pulp level, remove additional pulp tissue (deepen the pulpotomy) and reassess before abandoning — up to the canal orifices. Persistent bleeding at the level of the canal orifices is the definitive indication to proceed to full pulpectomy {{cite: Bjørndal 2019 — stepwise pulpotomy approach: achieve hemostasis at each level before placing capping material; persistent bleeding at orifice level = pulpectomy indicated}}.</w:t>
      </w:r>
    </w:p>
    <w:p>
      <w:pPr>
        <w:numPr>
          <w:ilvl w:val="0"/>
          <w:numId w:val="1054"/>
        </w:numPr>
        <w:pStyle w:val="Compact"/>
      </w:pPr>
      <w:r>
        <w:t xml:space="preserve">When is full pulpotomy indicated in permanent teeth?</w:t>
      </w:r>
    </w:p>
    <w:p>
      <w:pPr>
        <w:pStyle w:val="FirstParagraph"/>
      </w:pPr>
      <w:r>
        <w:t xml:space="preserve">Full pulpotomy is indicated when there is clinical evidence of irreversible pulpitis (spontaneous or lingering pain) in a tooth with a closed apex, but where preserving vitality is desirable. The entire coronal pulp is removed and a bioceramic material placed to maintain radicular pulp vitality. Cvek pulpotomy (partial/cervical pulpotomy) is the technique of choice for traumatized teeth with open apices and partial pulp exposure, achieving 96% success {{cite: Bimstein and Rotstein 2016 — Cvek pulpotomy in traumatized teeth with immature apices achieves approximately 96% success}}. Full pulpotomy in mature permanent teeth with MTA has shown success rates of 79–98% in recent literature, making it a viable alternative to root canal treatment in appropriate cases.</w:t>
      </w:r>
    </w:p>
    <w:p>
      <w:pPr>
        <w:numPr>
          <w:ilvl w:val="0"/>
          <w:numId w:val="1055"/>
        </w:numPr>
        <w:pStyle w:val="Compact"/>
      </w:pPr>
      <w:r>
        <w:t xml:space="preserve">How does patient age affect vital pulp therapy decisions?</w:t>
      </w:r>
    </w:p>
    <w:p>
      <w:pPr>
        <w:pStyle w:val="FirstParagraph"/>
      </w:pPr>
      <w:r>
        <w:t xml:space="preserve">Younger patients (open apices, higher cellularity of pulp tissue) are better candidates for vital pulp therapy due to enhanced healing capacity and the critical goal of apexogenesis — continued root development and apical closure. In immature permanent teeth, vital pulp therapy is strongly preferred over RCT because root canal treated teeth with open apices lack structural integrity and are prone to cervical fracture. As patients age, pulp tissue becomes more fibrotic and less vascular, decreasing the likelihood of successful direct pulp cap or pulpotomy. However, age alone should not be the sole deciding factor; clinical presentation is paramount.</w:t>
      </w:r>
    </w:p>
    <w:p>
      <w:pPr>
        <w:numPr>
          <w:ilvl w:val="0"/>
          <w:numId w:val="1056"/>
        </w:numPr>
        <w:pStyle w:val="Compact"/>
      </w:pPr>
      <w:r>
        <w:t xml:space="preserve">What materials are indicated for vital pulp therapy (MTA, Biodentine, calcium hydroxide)?</w:t>
      </w:r>
    </w:p>
    <w:p>
      <w:pPr>
        <w:pStyle w:val="FirstParagraph"/>
      </w:pPr>
      <w:r>
        <w:t xml:space="preserve">MTA (Mineral Trioxide Aggregate) is the gold standard for vital pulp therapy due to its biocompatibility, antimicrobial activity, ability to set in the presence of moisture, and superior dentinal bridge formation compared to calcium hydroxide {{cite: Mente 2014 — MTA outperforms calcium hydroxide for direct pulp capping in long-term outcomes}}. Biodentine (tricalcium silicate) is an acceptable MTA substitute with shorter setting time (~12 minutes vs. 2–4 hours for MTA) and equivalent biocompatibility. Calcium hydroxide (Ca(OH)₂) has historically been the standard but long-term studies show tunnel defects in the dentinal bridge and higher failure rates over time {{cite: Farsi 2005 — calcium hydroxide direct pulp cap success rate declines significantly at 5+ years}}. Bioceramic materials (MTA, Biodentine) are now preferred over Ca(OH)₂ for DPC and pulpotomy.</w:t>
      </w:r>
    </w:p>
    <w:bookmarkEnd w:id="33"/>
    <w:bookmarkStart w:id="34" w:name="X55041aa34455220826db929a9bd1e1f62a000f6"/>
    <w:p>
      <w:pPr>
        <w:pStyle w:val="Heading2"/>
      </w:pPr>
      <w:r>
        <w:t xml:space="preserve">2.5 Intentional Replantation Considerations</w:t>
      </w:r>
    </w:p>
    <w:p>
      <w:pPr>
        <w:numPr>
          <w:ilvl w:val="0"/>
          <w:numId w:val="1057"/>
        </w:numPr>
        <w:pStyle w:val="Compact"/>
      </w:pPr>
      <w:r>
        <w:t xml:space="preserve">What are the indications for intentional replantation?</w:t>
      </w:r>
    </w:p>
    <w:p>
      <w:pPr>
        <w:pStyle w:val="FirstParagraph"/>
      </w:pPr>
      <w:r>
        <w:t xml:space="preserve">Intentional replantation is indicated when conventional non-surgical retreatment and periapical surgery are not feasible due to anatomical limitations (proximity to vital structures, inadequate surgical access, severe root dilacerations, or long-standing post that cannot be safely removed). It may also be considered when: prior surgery has failed, there is persistent apical pathology with no clear non-surgical or surgical solution, or the tooth has a strategic value that justifies the risk {{cite: Cotter and Panzarino — intentional replantation is a viable alternative when other options are exhausted}}. It is NOT indicated for teeth with vertical root fractures, significant bone loss beyond the apex, or very curved/dilacerated roots that cannot survive extraction.</w:t>
      </w:r>
    </w:p>
    <w:p>
      <w:pPr>
        <w:numPr>
          <w:ilvl w:val="0"/>
          <w:numId w:val="1058"/>
        </w:numPr>
        <w:pStyle w:val="Compact"/>
      </w:pPr>
      <w:r>
        <w:t xml:space="preserve">What is the expected success rate and what factors influence it?</w:t>
      </w:r>
    </w:p>
    <w:p>
      <w:pPr>
        <w:pStyle w:val="FirstParagraph"/>
      </w:pPr>
      <w:r>
        <w:t xml:space="preserve">Success rates for intentional replantation range from 77–95% with careful case selection. {{cite: Bender and Rossman — intentional replantation showed 81% success rate at follow-up}}. Factors that improve prognosis include: minimal extra-oral time, no root damage during extraction, good periodontal support preoperatively, adequate remaining tooth structure for restoration, and performance of a root-end resection and retrofit during the extra-oral phase. Factors that worsen prognosis include: PDL desiccation, root fracture during extraction, pre-existing severe bone loss, and prolonged extra-oral time.</w:t>
      </w:r>
    </w:p>
    <w:p>
      <w:pPr>
        <w:numPr>
          <w:ilvl w:val="0"/>
          <w:numId w:val="1059"/>
        </w:numPr>
        <w:pStyle w:val="Compact"/>
      </w:pPr>
      <w:r>
        <w:t xml:space="preserve">What is the optimal extra-oral time and storage medium?</w:t>
      </w:r>
    </w:p>
    <w:p>
      <w:pPr>
        <w:pStyle w:val="FirstParagraph"/>
      </w:pPr>
      <w:r>
        <w:t xml:space="preserve">Extra-oral time should be minimized to less than 10 minutes to preserve PDL cell viability. The tooth should be kept moist throughout — either stored in the patient's saliva, saline, Hank's Balanced Salt Solution (HBSS), or milk during the root-end preparation. Desiccation of the PDL leads to ankylosis and replacement resorption, which are catastrophic long-term outcomes. {{cite: Kratchman — minimize extra-oral time and keep tooth moist to maximize PDL cell survival during intentional replantation}}. Root-end resection and retrofill with MTA or Biodentine should be performed during the extra-oral phase. Enamel matrix derivative (EMD) proteins applied to the root surface before replantation may promote PDL regeneration and improve outcomes {{cite: Wang — EMD application to root surface before replantation promotes periodontal regeneration}}.</w:t>
      </w:r>
    </w:p>
    <w:p>
      <w:pPr>
        <w:numPr>
          <w:ilvl w:val="0"/>
          <w:numId w:val="1060"/>
        </w:numPr>
        <w:pStyle w:val="Compact"/>
      </w:pPr>
      <w:r>
        <w:t xml:space="preserve">What is the technique for intentional replantation?</w:t>
      </w:r>
    </w:p>
    <w:p>
      <w:pPr>
        <w:pStyle w:val="FirstParagraph"/>
      </w:pPr>
      <w:r>
        <w:t xml:space="preserve">Extract the tooth as atraumatically as possible using periotomes and gentle rotational forces, minimizing forcep contact with the root surface. Keep the tooth moist, perform root-end resection (2–3 mm), prepare a 3 mm deep root-end cavity, place MTA or Biodentine retrofill, replant, and verify position radiographically. Splinting is generally not necessary unless there is bone loss or the socket is compromised. Follow-up at 1 week, 1 month, 6 months, and 1 year with periapical radiographs.</w:t>
      </w:r>
    </w:p>
    <w:bookmarkEnd w:id="34"/>
    <w:bookmarkStart w:id="35" w:name="X910c49a839ee803fcbd2e0ada68ea7478d0bb3b"/>
    <w:p>
      <w:pPr>
        <w:pStyle w:val="Heading2"/>
      </w:pPr>
      <w:r>
        <w:t xml:space="preserve">2.6 Retreatment vs. Surgery for Previously Treated Teeth</w:t>
      </w:r>
    </w:p>
    <w:p>
      <w:pPr>
        <w:numPr>
          <w:ilvl w:val="0"/>
          <w:numId w:val="1061"/>
        </w:numPr>
        <w:pStyle w:val="Compact"/>
      </w:pPr>
      <w:r>
        <w:t xml:space="preserve">What factors favor non-surgical retreatment over apical surgery?</w:t>
      </w:r>
    </w:p>
    <w:p>
      <w:pPr>
        <w:pStyle w:val="FirstParagraph"/>
      </w:pPr>
      <w:r>
        <w:t xml:space="preserve">Non-surgical retreatment is generally preferred as the first-line approach for previously treated teeth because it addresses the coronal cause of failure and allows re-disinfection of the entire root canal system. Factors favoring retreatment include: missed canals, inadequate length or taper of canal preparation, coronal leakage or re-contamination, insufficient obturation (voids, short fill), and a removable post or crown that needs replacement anyway. Retreatment is also preferable when the apical anatomy is accessible orthograde and no surgical contraindications exist. It is the less invasive option and maintains future surgical options if retreatment fails.</w:t>
      </w:r>
    </w:p>
    <w:p>
      <w:pPr>
        <w:numPr>
          <w:ilvl w:val="0"/>
          <w:numId w:val="1062"/>
        </w:numPr>
        <w:pStyle w:val="Compact"/>
      </w:pPr>
      <w:r>
        <w:t xml:space="preserve">How does the presence of a post or crown influence the decision?</w:t>
      </w:r>
    </w:p>
    <w:p>
      <w:pPr>
        <w:pStyle w:val="FirstParagraph"/>
      </w:pPr>
      <w:r>
        <w:t xml:space="preserve">A serviceable post and intact crown that do not need replacement may favor surgical rather than retreatment, since removing the post risks root fracture, perforation, excessive dentin removal, and loss of restorative elements. As stated by Kim and Kratchman, surgery can be more conservative than post removal when the crown is adequate and the post is well-seated. Conversely, if the coronal restoration is inadequate or the post is easily retrievable, retreatment is preferred. The overall restorability of the tooth must also be reassessed before committing to retreatment or surgery.</w:t>
      </w:r>
    </w:p>
    <w:p>
      <w:pPr>
        <w:numPr>
          <w:ilvl w:val="0"/>
          <w:numId w:val="1063"/>
        </w:numPr>
        <w:pStyle w:val="Compact"/>
      </w:pPr>
      <w:r>
        <w:t xml:space="preserve">What is the success rate differential between retreatment and surgery?</w:t>
      </w:r>
    </w:p>
    <w:p>
      <w:pPr>
        <w:pStyle w:val="FirstParagraph"/>
      </w:pPr>
      <w:r>
        <w:t xml:space="preserve">{{cite: Torabinejad 2009 — surgery had a short-term success rate of 77.8% versus 70.9% for non-surgical retreatment at 2–4 years, but long-term outcomes converge}}. In the short term (2–4 years), surgical outcomes slightly exceed retreatment success rates; however, long-term studies (4–6 years) show convergence of success rates around 83% for both approaches. The higher short-term surgical success is attributed to the immediate removal of periapical pathology and placement of a root-end filling, while retreatment relies on biological healing over time.</w:t>
      </w:r>
    </w:p>
    <w:p>
      <w:pPr>
        <w:numPr>
          <w:ilvl w:val="0"/>
          <w:numId w:val="1064"/>
        </w:numPr>
        <w:pStyle w:val="Compact"/>
      </w:pPr>
      <w:r>
        <w:t xml:space="preserve">When is combined retreatment plus surgery indicated?</w:t>
      </w:r>
    </w:p>
    <w:p>
      <w:pPr>
        <w:pStyle w:val="FirstParagraph"/>
      </w:pPr>
      <w:r>
        <w:t xml:space="preserve">Combined retreatment followed by surgery is indicated when: (1) the coronal cause of failure (missed canal, inadequate obturation) can be addressed via retreatment AND there is additional apical pathology requiring surgical management (persistent periapical cyst, extensive root-end resorption, foreign body), (2) retreatment alone is unlikely to succeed due to apical anatomy (isthmuses, fins, lateral canals not accessible orthograde), or (3) a post must be removed AND the apex requires surgical exploration. The combined approach theoretically addresses both coronal and apical dimensions of failure simultaneously.</w:t>
      </w:r>
    </w:p>
    <w:bookmarkEnd w:id="35"/>
    <w:bookmarkStart w:id="36" w:name="X64b3438ed180c1628b4c7dc15d2579166fda002"/>
    <w:p>
      <w:pPr>
        <w:pStyle w:val="Heading2"/>
      </w:pPr>
      <w:r>
        <w:t xml:space="preserve">2.7 Timing of Retreatment After Initial Failure</w:t>
      </w:r>
    </w:p>
    <w:p>
      <w:pPr>
        <w:numPr>
          <w:ilvl w:val="0"/>
          <w:numId w:val="1065"/>
        </w:numPr>
        <w:pStyle w:val="Compact"/>
      </w:pPr>
      <w:r>
        <w:t xml:space="preserve">How long should you wait to assess healing before considering retreatment?</w:t>
      </w:r>
    </w:p>
    <w:p>
      <w:pPr>
        <w:pStyle w:val="FirstParagraph"/>
      </w:pPr>
      <w:r>
        <w:t xml:space="preserve">The standard minimum follow-up period to assess healing is 1 year post-treatment, though lesions greater than 1 cm may require up to 4 years to demonstrate complete radiographic resolution. {{cite: Murphy — lesions greater than 1 cm require more than 1 year for complete radiographic healing}}. Orstavik's Periapical Index (PAI) is a useful standardized tool for tracking lesion size and density changes over serial follow-up visits. For small lesions (&lt;5 mm) in asymptomatic teeth, re-evaluation at 1 year is typically sufficient to determine if retreatment is needed.</w:t>
      </w:r>
    </w:p>
    <w:p>
      <w:pPr>
        <w:numPr>
          <w:ilvl w:val="0"/>
          <w:numId w:val="1066"/>
        </w:numPr>
        <w:pStyle w:val="Compact"/>
      </w:pPr>
      <w:r>
        <w:t xml:space="preserve">What distinguishes a healing lesion from persistent disease?</w:t>
      </w:r>
    </w:p>
    <w:p>
      <w:pPr>
        <w:pStyle w:val="FirstParagraph"/>
      </w:pPr>
      <w:r>
        <w:t xml:space="preserve">A healing lesion shows progressive reduction in periapical radiolucency size and increasing bone density at the periphery on serial radiographs. The PAI score should decrease over successive visits. Clinical signs also matter: absence of sinus tract, no swelling, no percussion sensitivity, and no increased mobility all support healing. A persistent or enlarging lesion on follow-up radiographs, especially with return of symptoms, indicates treatment failure. CBCT can be valuable for equivocal cases, as it detects cortical plate disruption and more accurately measures lesion volume than 2D radiographs. A lesion that has not decreased in size after 1–2 years of follow-up is considered non-healing.</w:t>
      </w:r>
    </w:p>
    <w:p>
      <w:pPr>
        <w:numPr>
          <w:ilvl w:val="0"/>
          <w:numId w:val="1067"/>
        </w:numPr>
        <w:pStyle w:val="Compact"/>
      </w:pPr>
      <w:r>
        <w:t xml:space="preserve">When is intervention indicated for asymptomatic apical periodontitis?</w:t>
      </w:r>
    </w:p>
    <w:p>
      <w:pPr>
        <w:pStyle w:val="FirstParagraph"/>
      </w:pPr>
      <w:r>
        <w:t xml:space="preserve">Asymptomatic apical periodontitis (AAP) in a previously treated tooth does not always require immediate retreatment, particularly if the lesion is small and the tooth has been recently treated. However, intervention is indicated when: (1) the lesion fails to decrease in size after 1–2 years of observation, (2) the lesion is enlarging, (3) the patient develops symptoms, (4) the tooth will serve as an abutment and a periapical lesion presents a risk, or (5) the patient is about to undergo immunosuppressive therapy or head/neck radiation. Watchful waiting is appropriate only when the lesion is stable or slowly decreasing and the patient is asymptomatic and otherwise healthy.</w:t>
      </w:r>
    </w:p>
    <w:bookmarkEnd w:id="36"/>
    <w:bookmarkEnd w:id="37"/>
    <w:bookmarkStart w:id="42" w:name="Xaf8d2834e7dc48bf7f8ae0609f3402e03180cdf"/>
    <w:p>
      <w:pPr>
        <w:pStyle w:val="Heading1"/>
      </w:pPr>
      <w:r>
        <w:t xml:space="preserve">3. Anesthesia and Pain Control</w:t>
      </w:r>
    </w:p>
    <w:bookmarkStart w:id="38" w:name="Xe498d3ee941a77c119b33aa09b7b16f2b39ed21"/>
    <w:p>
      <w:pPr>
        <w:pStyle w:val="Heading2"/>
      </w:pPr>
      <w:r>
        <w:t xml:space="preserve">3.1 Anesthetic Selection and Technique by Tooth/Diagnosis</w:t>
      </w:r>
    </w:p>
    <w:p>
      <w:pPr>
        <w:numPr>
          <w:ilvl w:val="0"/>
          <w:numId w:val="1068"/>
        </w:numPr>
        <w:pStyle w:val="Compact"/>
      </w:pPr>
      <w:r>
        <w:t xml:space="preserve">What anesthetic techniques are indicated for maxillary vs. mandibular teeth?</w:t>
      </w:r>
    </w:p>
    <w:p>
      <w:pPr>
        <w:pStyle w:val="FirstParagraph"/>
      </w:pPr>
      <w:r>
        <w:t xml:space="preserve">For mandibular teeth, two cartridges (3.6 mL) are indicated for the IAN block, as Fowler and Reader showed this volume is more effective than 1.8 mL. For maxillary first molars, buccal infiltrations and PSA blocks show equivalent effectiveness {{cite: Aggarwal 2011}}. Aggarwal also showed that adding palatal anesthesia does not increase the success rate but does prolong the duration of anesthesia.</w:t>
      </w:r>
    </w:p>
    <w:p>
      <w:pPr>
        <w:numPr>
          <w:ilvl w:val="0"/>
          <w:numId w:val="1069"/>
        </w:numPr>
        <w:pStyle w:val="Compact"/>
      </w:pPr>
      <w:r>
        <w:t xml:space="preserve">When is articaine preferred over lidocaine?</w:t>
      </w:r>
    </w:p>
    <w:p>
      <w:pPr>
        <w:pStyle w:val="FirstParagraph"/>
      </w:pPr>
      <w:r>
        <w:t xml:space="preserve">Dressman found that 4% articaine infiltration provided successful pulpal anesthesia in the premolar region 80-87% of the time and 92-94% successful with additional anesthesia.</w:t>
      </w:r>
    </w:p>
    <w:p>
      <w:pPr>
        <w:pStyle w:val="BodyText"/>
      </w:pPr>
      <w:r>
        <w:t xml:space="preserve">Kung showed no difference between articaine and lidocaine with maxillary SIP cases. Articaine is preferred for supplemental buccal infiltration. ==Garisto et al., 2010 (and Gaffen separately) found that 4% articaine was associated with 3.6x more paresthesia reports than expected based on its market share — a retrospective FDA adverse event analysis, not a head-to-head comparison to lidocaine. Prilocaine showed an even higher signal (7.3x). Clinicians should note that this represents a pharmacovigilance signal, not a controlled clinical trial result.==</w:t>
      </w:r>
    </w:p>
    <w:p>
      <w:pPr>
        <w:numPr>
          <w:ilvl w:val="0"/>
          <w:numId w:val="1070"/>
        </w:numPr>
        <w:pStyle w:val="Compact"/>
      </w:pPr>
      <w:r>
        <w:t xml:space="preserve">What is the evidence for buccal infiltration of articaine in mandibular molars?</w:t>
      </w:r>
    </w:p>
    <w:p>
      <w:pPr>
        <w:pStyle w:val="FirstParagraph"/>
      </w:pPr>
      <w:r>
        <w:t xml:space="preserve">{{cite: Kanaa 2012}} compared supplemental techniques and found additional buccal articaine infiltrations provided 84% success, IO 68%, PDL 48%, and repeated IAN 32%. This supports routine use of buccal articaine infiltration at the apices of mandibular molars. According to Rogers, articaine is more effective than lidocaine when used as a supplemental buccal infiltration.</w:t>
      </w:r>
    </w:p>
    <w:p>
      <w:pPr>
        <w:numPr>
          <w:ilvl w:val="0"/>
          <w:numId w:val="1071"/>
        </w:numPr>
        <w:pStyle w:val="Compact"/>
      </w:pPr>
      <w:r>
        <w:t xml:space="preserve">What is the maximum epinephrine dose for cardiac patients?</w:t>
      </w:r>
    </w:p>
    <w:p>
      <w:pPr>
        <w:pStyle w:val="FirstParagraph"/>
      </w:pPr>
      <w:r>
        <w:t xml:space="preserve">The maximum epinephrine dose is 0.04 mg for cardiac patients and 0.2 mg for non-cardiac patients.</w:t>
      </w:r>
    </w:p>
    <w:p>
      <w:pPr>
        <w:numPr>
          <w:ilvl w:val="0"/>
          <w:numId w:val="1072"/>
        </w:numPr>
        <w:pStyle w:val="Compact"/>
      </w:pPr>
      <w:r>
        <w:t xml:space="preserve">Does injection speed matter for success?</w:t>
      </w:r>
    </w:p>
    <w:p>
      <w:pPr>
        <w:pStyle w:val="FirstParagraph"/>
      </w:pPr>
      <w:r>
        <w:t xml:space="preserve">No (Kanaa, 2006 and Aggarwal 2012)</w:t>
      </w:r>
    </w:p>
    <w:p>
      <w:pPr>
        <w:numPr>
          <w:ilvl w:val="0"/>
          <w:numId w:val="1073"/>
        </w:numPr>
        <w:pStyle w:val="Compact"/>
      </w:pPr>
      <w:r>
        <w:t xml:space="preserve">Does buffering anesthetic solution improve outcomes?</w:t>
      </w:r>
    </w:p>
    <w:p>
      <w:pPr>
        <w:pStyle w:val="FirstParagraph"/>
      </w:pPr>
      <w:r>
        <w:t xml:space="preserve">No — multiple studies show no reduction in injection pain, onset time, or anesthetic success with buffered solutions.</w:t>
      </w:r>
    </w:p>
    <w:p>
      <w:pPr>
        <w:numPr>
          <w:ilvl w:val="0"/>
          <w:numId w:val="1074"/>
        </w:numPr>
        <w:pStyle w:val="Compact"/>
      </w:pPr>
      <w:r>
        <w:t xml:space="preserve">What can we do post-op to decrease pain?</w:t>
      </w:r>
    </w:p>
    <w:p>
      <w:pPr>
        <w:pStyle w:val="FirstParagraph"/>
      </w:pPr>
      <w:r>
        <w:t xml:space="preserve">A long-acting bupivacaine injection at the end of the procedure reduces post-operative pain — this has been shown for third molar extraction (Gordon). Liposomal bupivacaine formulations have not demonstrated superiority over standard bupivacaine (Glenn et al.).</w:t>
      </w:r>
    </w:p>
    <w:bookmarkEnd w:id="38"/>
    <w:bookmarkStart w:id="39" w:name="X4881a6fa5cd5797871cca29d282e249947b2b23"/>
    <w:p>
      <w:pPr>
        <w:pStyle w:val="Heading2"/>
      </w:pPr>
      <w:r>
        <w:t xml:space="preserve">3.2 Supplemental Anesthesia Decision Tree</w:t>
      </w:r>
    </w:p>
    <w:p>
      <w:pPr>
        <w:numPr>
          <w:ilvl w:val="0"/>
          <w:numId w:val="1075"/>
        </w:numPr>
        <w:pStyle w:val="Compact"/>
      </w:pPr>
      <w:r>
        <w:t xml:space="preserve">When is intraosseous anesthesia indicated and what are the contraindications?</w:t>
      </w:r>
    </w:p>
    <w:p>
      <w:pPr>
        <w:pStyle w:val="FirstParagraph"/>
      </w:pPr>
      <w:r>
        <w:t xml:space="preserve">Intraosseous anesthesia is indicated as a supplemental technique when conventional infiltration and block anesthesia fail to achieve profound pulpal anesthesia. Walton reported a 92% success rate. It is contraindicated in immunocompromised patients due to increased infection risk and in patients with bleeding disorders.</w:t>
      </w:r>
    </w:p>
    <w:p>
      <w:pPr>
        <w:numPr>
          <w:ilvl w:val="0"/>
          <w:numId w:val="1076"/>
        </w:numPr>
        <w:pStyle w:val="Compact"/>
      </w:pPr>
      <w:r>
        <w:t xml:space="preserve">What are the indications and limitations of intrapulpal anesthesia?</w:t>
      </w:r>
    </w:p>
    <w:p>
      <w:pPr>
        <w:pStyle w:val="FirstParagraph"/>
      </w:pPr>
      <w:r>
        <w:t xml:space="preserve">Intrapulpal anesthesia is useful as a last resort when other methods have failed. It has a 93% success rate and effectiveness is due to pressure - effective regardless of whether saline or anesthetic is used (VanGheluwe and Walton).</w:t>
      </w:r>
    </w:p>
    <w:bookmarkEnd w:id="39"/>
    <w:bookmarkStart w:id="40" w:name="Xe7f5699a5f57f99b27a009259c5ce350fc1987d"/>
    <w:p>
      <w:pPr>
        <w:pStyle w:val="Heading2"/>
      </w:pPr>
      <w:r>
        <w:t xml:space="preserve">3.3 Managing the "Hot" Tooth</w:t>
      </w:r>
    </w:p>
    <w:p>
      <w:pPr>
        <w:numPr>
          <w:ilvl w:val="0"/>
          <w:numId w:val="1077"/>
        </w:numPr>
        <w:pStyle w:val="Compact"/>
      </w:pPr>
      <w:r>
        <w:t xml:space="preserve">Why do teeth with irreversible pulpitis have higher anesthetic failure rates?</w:t>
      </w:r>
    </w:p>
    <w:p>
      <w:pPr>
        <w:pStyle w:val="FirstParagraph"/>
      </w:pPr>
      <w:r>
        <w:t xml:space="preserve">Hargreaves identified several mechanisms: the inflamed pulp's acidic local pH impairs local anesthetic uptake, upregulation of tetrodotoxin-resistant Na⁺ channels reduces anesthetic effectiveness, the resting membrane potential is altered, the nociceptor excitability threshold is lowered, and patient anxiety amplifies pain perception.</w:t>
      </w:r>
    </w:p>
    <w:p>
      <w:pPr>
        <w:numPr>
          <w:ilvl w:val="0"/>
          <w:numId w:val="1078"/>
        </w:numPr>
        <w:pStyle w:val="Compact"/>
      </w:pPr>
      <w:r>
        <w:t xml:space="preserve">What preoperative medications improve anesthetic success?</w:t>
      </w:r>
    </w:p>
    <w:p>
      <w:pPr>
        <w:pStyle w:val="FirstParagraph"/>
      </w:pPr>
      <w:r>
        <w:t xml:space="preserve">NSAIDs improve IANB success in symptomatic irreversible pulpitis: 400–800 mg ibuprofen taken 45–60 min before the block nearly doubles the success rate (Nagendrababu; Parirokh). However, the single most effective premedication is oral dexamethasone. {{cite: Pulikkotil 2018 — network meta-analysis of 19 RCTs (n=1654) ranked dexamethasone as the most effective oral premedication for IANB success in irreversible pulpitis (RR 2.92 vs placebo, SUCRA 0.96), beating NSAIDs and tramadol; 0.5 mg dose was studied for this outcome}}. {{cite: Hegde 2023 — in a double-blind RCT of 184 patients with SIP, IANB success rates were 60.9% with dexamethasone, 65.2% with ketorolac, 56.5% with prednisolone, vs just 21.7% with placebo}}. {{cite: Kumar 2021 — combination of 0.5 mg dexamethasone + 800 mg ibuprofen was significantly superior to either drug alone for IANB success in SIP mandibular molars}}. Mechanism: corticosteroids reduce PGE2 and inflammatory mediators at the pulp, decreasing nociceptor sensitization and TTX-resistant Na⁺ channel upregulation.</w:t>
      </w:r>
    </w:p>
    <w:p>
      <w:pPr>
        <w:numPr>
          <w:ilvl w:val="0"/>
          <w:numId w:val="1079"/>
        </w:numPr>
        <w:pStyle w:val="Compact"/>
      </w:pPr>
      <w:r>
        <w:t xml:space="preserve">What dose of dexamethasone should be used, and what outcome does each dose target?</w:t>
      </w:r>
    </w:p>
    <w:p>
      <w:pPr>
        <w:pStyle w:val="FirstParagraph"/>
      </w:pPr>
      <w:r>
        <w:t xml:space="preserve">Two dose ranges appear in the endodontic literature, studied for two related but distinct outcomes:</w:t>
      </w:r>
    </w:p>
    <w:p>
      <w:pPr>
        <w:numPr>
          <w:ilvl w:val="0"/>
          <w:numId w:val="1080"/>
        </w:numPr>
      </w:pPr>
      <w:r>
        <w:rPr>
          <w:bCs/>
          <w:b/>
        </w:rPr>
        <w:t xml:space="preserve">0.5 mg PO</w:t>
      </w:r>
      <w:r>
        <w:t xml:space="preserve"> </w:t>
      </w:r>
      <w:r>
        <w:t xml:space="preserve">— studied specifically for improving IANB</w:t>
      </w:r>
      <w:r>
        <w:t xml:space="preserve"> </w:t>
      </w:r>
      <w:r>
        <w:rPr>
          <w:iCs/>
          <w:i/>
        </w:rPr>
        <w:t xml:space="preserve">anesthetic success</w:t>
      </w:r>
      <w:r>
        <w:t xml:space="preserve"> </w:t>
      </w:r>
      <w:r>
        <w:t xml:space="preserve">in symptomatic irreversible pulpitis. This is the dose ranked in the Pulikkotil 2018 network meta-analysis.</w:t>
      </w:r>
    </w:p>
    <w:p>
      <w:pPr>
        <w:numPr>
          <w:ilvl w:val="0"/>
          <w:numId w:val="1080"/>
        </w:numPr>
      </w:pPr>
      <w:r>
        <w:rPr>
          <w:bCs/>
          <w:b/>
        </w:rPr>
        <w:t xml:space="preserve">4–8 mg PO, IM, or submucosal</w:t>
      </w:r>
      <w:r>
        <w:t xml:space="preserve"> </w:t>
      </w:r>
      <w:r>
        <w:t xml:space="preserve">— studied for reducing</w:t>
      </w:r>
      <w:r>
        <w:t xml:space="preserve"> </w:t>
      </w:r>
      <w:r>
        <w:rPr>
          <w:iCs/>
          <w:i/>
        </w:rPr>
        <w:t xml:space="preserve">postoperative endodontic pain</w:t>
      </w:r>
      <w:r>
        <w:t xml:space="preserve">. {{cite: Suresh 2020 — 4 mg oral dexamethasone 60 min before single-visit RCT reduced postop pain incidence and severity at 6, 12, 24 h; odds of postop pain at 24 h were 5.3× lower vs placebo — the largest effect of any drug in the trial}}. {{cite: Pochapski 2009 — 4 mg oral dexamethasone significantly reduced postendodontic pain at 4 and 12 h and decreased rescue medication use}}. {{cite: Konagala 2019 — 4 mg dexamethasone equivalent to piroxicam 20 mg and deflazacort 30 mg for postendo pain control at 6, 12, 24 h}}. {{cite: Jorge-Araújo 2018 — 8 mg oral dexamethasone reduced post-endodontic pain intensity and rescue medication use vs placebo; equivalent to 400 mg ibuprofen}}. {{cite: Aksoy 2019 — 8 mg submucosal dexamethasone injected adjacent to SIP mandibular molars significantly reduced postop pain at 6, 12, 48 h and beat submucosal tramadol in the first 12 h}}. {{cite: Mehrvarzfar 2008 — 8 mg supraperiosteal dexamethasone injection around tooth with irreversible pulpitis effectively controlled postop pain for first 24 h}}.</w:t>
      </w:r>
    </w:p>
    <w:p>
      <w:pPr>
        <w:pStyle w:val="FirstParagraph"/>
      </w:pPr>
      <w:r>
        <w:t xml:space="preserve">Clinically, 4–8 mg is a reasonable dose when the primary goal is to prevent postoperative flare-up or pain — especially in hot teeth where pre-op pain is severe. Because both anesthetic success and postop pain reduction share the same anti-inflammatory mechanism (blocking PGE2 and inflammatory-mediator sensitization of nociceptors), a 4 mg dose likely improves IANB success at least as well as 0.5 mg, though head-to-head dose comparisons for the anesthetic-success endpoint are lacking. Practical protocol: 4 mg oral dexamethasone + 600–800 mg ibuprofen, 45–60 min preoperatively, for hot teeth with anticipated difficult anesthesia and high postop flare-up risk.</w:t>
      </w:r>
    </w:p>
    <w:p>
      <w:pPr>
        <w:numPr>
          <w:ilvl w:val="0"/>
          <w:numId w:val="1081"/>
        </w:numPr>
        <w:pStyle w:val="Compact"/>
      </w:pPr>
      <w:r>
        <w:t xml:space="preserve">What combination techniques provide highest success rates for hot mandibular molars?</w:t>
      </w:r>
    </w:p>
    <w:p>
      <w:pPr>
        <w:pStyle w:val="FirstParagraph"/>
      </w:pPr>
      <w:r>
        <w:t xml:space="preserve">According to Walton, 92% success with IAN + IO.</w:t>
      </w:r>
    </w:p>
    <w:bookmarkEnd w:id="40"/>
    <w:bookmarkStart w:id="41" w:name="X0238fa04558deb810f544c67b01e5edb58c936f"/>
    <w:p>
      <w:pPr>
        <w:pStyle w:val="Heading2"/>
      </w:pPr>
      <w:r>
        <w:t xml:space="preserve">3.4 Sedation and Anxiolysis</w:t>
      </w:r>
    </w:p>
    <w:p>
      <w:pPr>
        <w:numPr>
          <w:ilvl w:val="0"/>
          <w:numId w:val="1082"/>
        </w:numPr>
        <w:pStyle w:val="Compact"/>
      </w:pPr>
      <w:r>
        <w:t xml:space="preserve">What anxiolytic agents are appropriate for dental treatment?</w:t>
      </w:r>
    </w:p>
    <w:p>
      <w:pPr>
        <w:pStyle w:val="FirstParagraph"/>
      </w:pPr>
      <w:r>
        <w:t xml:space="preserve">Triazolam is considered the safest and most effective oral anxiolytic for dental treatment (Kaufman).</w:t>
      </w:r>
    </w:p>
    <w:p>
      <w:pPr>
        <w:numPr>
          <w:ilvl w:val="0"/>
          <w:numId w:val="1083"/>
        </w:numPr>
        <w:pStyle w:val="Compact"/>
      </w:pPr>
      <w:r>
        <w:t xml:space="preserve">What are the indications and contraindications for oral sedation in endodontics?</w:t>
      </w:r>
    </w:p>
    <w:p>
      <w:pPr>
        <w:pStyle w:val="FirstParagraph"/>
      </w:pPr>
      <w:r>
        <w:rPr>
          <w:bCs/>
          <w:b/>
        </w:rPr>
        <w:t xml:space="preserve">Indications:</w:t>
      </w:r>
      <w:r>
        <w:t xml:space="preserve"> </w:t>
      </w:r>
      <w:r>
        <w:t xml:space="preserve">dental anxiety, severe gag reflex, history of dental trauma, mild-to-moderate psychiatric conditions (with medical clearance), and extended procedures.</w:t>
      </w:r>
    </w:p>
    <w:p>
      <w:pPr>
        <w:pStyle w:val="BodyText"/>
      </w:pPr>
      <w:r>
        <w:rPr>
          <w:bCs/>
          <w:b/>
        </w:rPr>
        <w:t xml:space="preserve">Contraindications:</w:t>
      </w:r>
      <w:r>
        <w:t xml:space="preserve"> </w:t>
      </w:r>
      <w:r>
        <w:t xml:space="preserve">pregnancy, benzodiazepine allergy, acute narrow-angle glaucoma, severe respiratory disease, CNS depression, myasthenia gravis, and patients unable to provide informed consent.</w:t>
      </w:r>
    </w:p>
    <w:bookmarkEnd w:id="41"/>
    <w:bookmarkEnd w:id="42"/>
    <w:bookmarkStart w:id="47" w:name="X69ec8759c2c8fb432d286c32a407c3451b99082"/>
    <w:p>
      <w:pPr>
        <w:pStyle w:val="Heading1"/>
      </w:pPr>
      <w:r>
        <w:t xml:space="preserve">4. Access and Coronal Disassembly</w:t>
      </w:r>
    </w:p>
    <w:bookmarkStart w:id="43" w:name="X2fc92a71c562f557bdab6907902f9db80610220"/>
    <w:p>
      <w:pPr>
        <w:pStyle w:val="Heading2"/>
      </w:pPr>
      <w:r>
        <w:t xml:space="preserve">4.1 Access Design Philosophy</w:t>
      </w:r>
    </w:p>
    <w:p>
      <w:pPr>
        <w:numPr>
          <w:ilvl w:val="0"/>
          <w:numId w:val="1084"/>
        </w:numPr>
        <w:pStyle w:val="Compact"/>
      </w:pPr>
      <w:r>
        <w:t xml:space="preserve">How should one access a tooth?</w:t>
      </w:r>
    </w:p>
    <w:p>
      <w:pPr>
        <w:pStyle w:val="FirstParagraph"/>
      </w:pPr>
      <w:r>
        <w:t xml:space="preserve">Access design should follow the seven Laws of Krasner and Rankow, which describe the predictable spatial relationships between canal orifices, the pulp chamber, and the external tooth surface. Applying these laws prevents over-access (floor perforation) and under-access (missed canals) {{cite: Krasner and Rankow 2004 — seven laws describe the predictable spatial relationship of canal orifices to the CEJ, external tooth surface, and pulp chamber floor}}:</w:t>
      </w:r>
    </w:p>
    <w:p>
      <w:pPr>
        <w:numPr>
          <w:ilvl w:val="0"/>
          <w:numId w:val="1085"/>
        </w:numPr>
        <w:pStyle w:val="Compact"/>
      </w:pPr>
      <w:r>
        <w:rPr>
          <w:bCs/>
          <w:b/>
        </w:rPr>
        <w:t xml:space="preserve">Law of Centrality:</w:t>
      </w:r>
      <w:r>
        <w:t xml:space="preserve"> </w:t>
      </w:r>
      <w:r>
        <w:t xml:space="preserve">The floor of the pulp chamber is always located in the center of the tooth at the level of the CEJ.</w:t>
      </w:r>
    </w:p>
    <w:p>
      <w:pPr>
        <w:numPr>
          <w:ilvl w:val="0"/>
          <w:numId w:val="1085"/>
        </w:numPr>
        <w:pStyle w:val="Compact"/>
      </w:pPr>
      <w:r>
        <w:rPr>
          <w:bCs/>
          <w:b/>
        </w:rPr>
        <w:t xml:space="preserve">Law of Concentricity:</w:t>
      </w:r>
      <w:r>
        <w:t xml:space="preserve"> </w:t>
      </w:r>
      <w:r>
        <w:t xml:space="preserve">The walls of the pulp chamber are always concentric with the external surface of the tooth at the level of the CEJ — the external surface of the tooth guides the expected position of the pulp chamber.</w:t>
      </w:r>
    </w:p>
    <w:p>
      <w:pPr>
        <w:numPr>
          <w:ilvl w:val="0"/>
          <w:numId w:val="1085"/>
        </w:numPr>
        <w:pStyle w:val="Compact"/>
      </w:pPr>
      <w:r>
        <w:rPr>
          <w:bCs/>
          <w:b/>
        </w:rPr>
        <w:t xml:space="preserve">Law of the CEJ:</w:t>
      </w:r>
      <w:r>
        <w:t xml:space="preserve"> </w:t>
      </w:r>
      <w:r>
        <w:t xml:space="preserve">The CEJ is the most consistent, repeatable landmark for locating the position and size of the pulp chamber; it guides initial bur depth and direction.</w:t>
      </w:r>
    </w:p>
    <w:p>
      <w:pPr>
        <w:numPr>
          <w:ilvl w:val="0"/>
          <w:numId w:val="1085"/>
        </w:numPr>
        <w:pStyle w:val="Compact"/>
      </w:pPr>
      <w:r>
        <w:rPr>
          <w:bCs/>
          <w:b/>
        </w:rPr>
        <w:t xml:space="preserve">Law of Symmetry 1 (Orifice Position):</w:t>
      </w:r>
      <w:r>
        <w:t xml:space="preserve"> </w:t>
      </w:r>
      <w:r>
        <w:t xml:space="preserve">Except for the maxillary molars, canal orifices are equidistant from a line drawn mesiodistally through the floor of the pulp chamber.</w:t>
      </w:r>
    </w:p>
    <w:p>
      <w:pPr>
        <w:numPr>
          <w:ilvl w:val="0"/>
          <w:numId w:val="1085"/>
        </w:numPr>
        <w:pStyle w:val="Compact"/>
      </w:pPr>
      <w:r>
        <w:rPr>
          <w:bCs/>
          <w:b/>
        </w:rPr>
        <w:t xml:space="preserve">Law of Symmetry 2 (Orifice Location):</w:t>
      </w:r>
      <w:r>
        <w:t xml:space="preserve"> </w:t>
      </w:r>
      <w:r>
        <w:t xml:space="preserve">Except for the maxillary molars, canal orifices lie on a line drawn buccolingually through the floor of the pulp chamber.</w:t>
      </w:r>
    </w:p>
    <w:p>
      <w:pPr>
        <w:numPr>
          <w:ilvl w:val="0"/>
          <w:numId w:val="1085"/>
        </w:numPr>
        <w:pStyle w:val="Compact"/>
      </w:pPr>
      <w:r>
        <w:rPr>
          <w:bCs/>
          <w:b/>
        </w:rPr>
        <w:t xml:space="preserve">Law of Color Change:</w:t>
      </w:r>
      <w:r>
        <w:t xml:space="preserve"> </w:t>
      </w:r>
      <w:r>
        <w:t xml:space="preserve">The floor of the pulp chamber is always darker than the walls — this color differential, visible under magnification, helps identify the true floor and distinguish it from walls when visibility is limited.</w:t>
      </w:r>
    </w:p>
    <w:p>
      <w:pPr>
        <w:numPr>
          <w:ilvl w:val="0"/>
          <w:numId w:val="1085"/>
        </w:numPr>
        <w:pStyle w:val="Compact"/>
      </w:pPr>
      <w:r>
        <w:rPr>
          <w:bCs/>
          <w:b/>
        </w:rPr>
        <w:t xml:space="preserve">Law of Orifice Location:</w:t>
      </w:r>
      <w:r>
        <w:t xml:space="preserve"> </w:t>
      </w:r>
      <w:r>
        <w:t xml:space="preserve">Canal orifices are always located at the junction of the floor and the walls, appearing as dark spots or depressions at the base of each developmental groove.</w:t>
      </w:r>
    </w:p>
    <w:p>
      <w:pPr>
        <w:pStyle w:val="FirstParagraph"/>
      </w:pPr>
      <w:r>
        <w:t xml:space="preserve">Under magnification, staining the pulp floor with methylene blue accentuates the color differential in Law 6 and reveals the grooves in Law 7. Troughing along developmental grooves with a DG-16 explorer or ultrasonic tip confirms orifice locations. A "champagne bubble" sign — effervescence when NaOCl floods a troughed groove — suggests organic tissue in a patent but calcified canal.</w:t>
      </w:r>
    </w:p>
    <w:p>
      <w:pPr>
        <w:numPr>
          <w:ilvl w:val="0"/>
          <w:numId w:val="1086"/>
        </w:numPr>
        <w:pStyle w:val="Compact"/>
      </w:pPr>
      <w:r>
        <w:t xml:space="preserve">How does access design affect fracture resistance?</w:t>
      </w:r>
    </w:p>
    <w:p>
      <w:pPr>
        <w:pStyle w:val="FirstParagraph"/>
      </w:pPr>
      <w:r>
        <w:t xml:space="preserve">Minimally. Most in vitro studies show no significant difference in fracture resistance between traditional and ultraconservative access designs {{cite: Silva 2020}}. Moreover, the access cavity itself reduces overall tooth stiffness by only about 5% — most of the structural loss comes from the original caries or existing restoration, not the endodontic access (Reeh et al.).</w:t>
      </w:r>
    </w:p>
    <w:bookmarkEnd w:id="43"/>
    <w:bookmarkStart w:id="44" w:name="X50ba646b0e727838820d65c02973bca66076156"/>
    <w:p>
      <w:pPr>
        <w:pStyle w:val="Heading2"/>
      </w:pPr>
      <w:r>
        <w:t xml:space="preserve">4.2 Magnification and Rubber Dam Utilization</w:t>
      </w:r>
    </w:p>
    <w:p>
      <w:pPr>
        <w:numPr>
          <w:ilvl w:val="0"/>
          <w:numId w:val="1087"/>
        </w:numPr>
        <w:pStyle w:val="Compact"/>
      </w:pPr>
      <w:r>
        <w:t xml:space="preserve">What is the justification for using microscopes in treatment?</w:t>
      </w:r>
    </w:p>
    <w:p>
      <w:pPr>
        <w:pStyle w:val="FirstParagraph"/>
      </w:pPr>
      <w:r>
        <w:t xml:space="preserve">The dental operating microscope is a standard component of modern endodontic practice, improving visualization, precision, and outcomes across nearly every step of treatment (AAE 2012 Position Statement).</w:t>
      </w:r>
    </w:p>
    <w:p>
      <w:pPr>
        <w:numPr>
          <w:ilvl w:val="0"/>
          <w:numId w:val="1088"/>
        </w:numPr>
        <w:pStyle w:val="Compact"/>
      </w:pPr>
      <w:r>
        <w:t xml:space="preserve">How does isolation affect treatment outcomes and safety?</w:t>
      </w:r>
    </w:p>
    <w:p>
      <w:pPr>
        <w:pStyle w:val="FirstParagraph"/>
      </w:pPr>
      <w:r>
        <w:t xml:space="preserve">The rubber dam is the standard of care for endodontic treatment {{cite: AAE 2017}}. Lin's research suggests that rubber dam use is associated with increased tooth survival. The rubber dam also protects patient safety by preventing aspiration or ingestion of instruments, irrigants, and debris.</w:t>
      </w:r>
    </w:p>
    <w:bookmarkEnd w:id="44"/>
    <w:bookmarkStart w:id="45" w:name="Xbb234579a84e6291d1ab8a63be39c9b51d8cade"/>
    <w:p>
      <w:pPr>
        <w:pStyle w:val="Heading2"/>
      </w:pPr>
      <w:r>
        <w:t xml:space="preserve">4.3 Post and Core Removal</w:t>
      </w:r>
    </w:p>
    <w:p>
      <w:pPr>
        <w:numPr>
          <w:ilvl w:val="0"/>
          <w:numId w:val="1089"/>
        </w:numPr>
        <w:pStyle w:val="Compact"/>
      </w:pPr>
      <w:r>
        <w:t xml:space="preserve">What techniques are available for post removal and when is each indicated?</w:t>
      </w:r>
    </w:p>
    <w:p>
      <w:pPr>
        <w:pStyle w:val="FirstParagraph"/>
      </w:pPr>
      <w:r>
        <w:t xml:space="preserve">Available techniques include traction (Gonon, Ruddle post pullers), ultrasonic vibration to fatigue the cement interface, trephine burs to core around the post, and direct post drilling. Ultrasonics are typically the first-line approach for cast and cemented metal posts; trephines are reserved for posts that cannot be loosened by ultrasonics.</w:t>
      </w:r>
    </w:p>
    <w:p>
      <w:pPr>
        <w:numPr>
          <w:ilvl w:val="0"/>
          <w:numId w:val="1090"/>
        </w:numPr>
        <w:pStyle w:val="Compact"/>
      </w:pPr>
      <w:r>
        <w:t xml:space="preserve">What are the risks of post removal and how can they be minimized?</w:t>
      </w:r>
    </w:p>
    <w:p>
      <w:pPr>
        <w:pStyle w:val="FirstParagraph"/>
      </w:pPr>
      <w:r>
        <w:t xml:space="preserve">The principal risks are root fracture, perforation, excessive dentin removal, and heat injury to the PDL and surrounding bone. These are minimized with pre-operative CBCT planning, magnification, conservative troughing, copious water coolant, and working in short bursts to prevent heat buildup.</w:t>
      </w:r>
    </w:p>
    <w:p>
      <w:pPr>
        <w:numPr>
          <w:ilvl w:val="0"/>
          <w:numId w:val="1091"/>
        </w:numPr>
        <w:pStyle w:val="Compact"/>
      </w:pPr>
      <w:r>
        <w:t xml:space="preserve">When should you consider bypassing a post vs. removing it?</w:t>
      </w:r>
    </w:p>
    <w:p>
      <w:pPr>
        <w:pStyle w:val="FirstParagraph"/>
      </w:pPr>
      <w:r>
        <w:t xml:space="preserve">Ideally the post is removed in all cases. If removing the post would risk excessive dentin removal or sacrifice critical restorative elements like abutments for long span bridges, then surgery should be considered instead {{cite: Ruddle 2004}}</w:t>
      </w:r>
    </w:p>
    <w:p>
      <w:pPr>
        <w:numPr>
          <w:ilvl w:val="0"/>
          <w:numId w:val="1092"/>
        </w:numPr>
        <w:pStyle w:val="Compact"/>
      </w:pPr>
      <w:r>
        <w:t xml:space="preserve">What is the maximum safe temperature increase for root surfaces during post removal?</w:t>
      </w:r>
    </w:p>
    <w:p>
      <w:pPr>
        <w:pStyle w:val="FirstParagraph"/>
      </w:pPr>
      <w:r>
        <w:t xml:space="preserve">The maximum safe temperature increase for root surfaces is 10°C (Eriksson and Albrektsson).</w:t>
      </w:r>
    </w:p>
    <w:bookmarkEnd w:id="45"/>
    <w:bookmarkStart w:id="46" w:name="X4f7bbb893ec790cc5b746a5c157b7caf1769e7a"/>
    <w:p>
      <w:pPr>
        <w:pStyle w:val="Heading2"/>
      </w:pPr>
      <w:r>
        <w:t xml:space="preserve">4.4 Managing Calcified Canals</w:t>
      </w:r>
    </w:p>
    <w:p>
      <w:pPr>
        <w:numPr>
          <w:ilvl w:val="0"/>
          <w:numId w:val="1093"/>
        </w:numPr>
        <w:pStyle w:val="Compact"/>
      </w:pPr>
      <w:r>
        <w:t xml:space="preserve">What techniques improve success in locating calcified canals?</w:t>
      </w:r>
    </w:p>
    <w:p>
      <w:pPr>
        <w:pStyle w:val="FirstParagraph"/>
      </w:pPr>
      <w:r>
        <w:t xml:space="preserve">Useful techniques include troughing with a long-shank round bur or ultrasonic tip under magnification, observing for "champagne bubbles" after flooding the chamber with NaOCl, and staining the pulp floor with methylene blue or other dye to highlight developmental grooves.</w:t>
      </w:r>
    </w:p>
    <w:p>
      <w:pPr>
        <w:numPr>
          <w:ilvl w:val="0"/>
          <w:numId w:val="1094"/>
        </w:numPr>
        <w:pStyle w:val="Compact"/>
      </w:pPr>
      <w:r>
        <w:t xml:space="preserve">What is the role of CBCT in calcified canal management?</w:t>
      </w:r>
    </w:p>
    <w:p>
      <w:pPr>
        <w:pStyle w:val="FirstParagraph"/>
      </w:pPr>
      <w:r>
        <w:t xml:space="preserve">CBCT provides information about the location, path, and remaining patency of the calcified canal, and helps the operator stay oriented relative to the original canal anatomy during troughing.</w:t>
      </w:r>
    </w:p>
    <w:p>
      <w:pPr>
        <w:numPr>
          <w:ilvl w:val="0"/>
          <w:numId w:val="1095"/>
        </w:numPr>
        <w:pStyle w:val="Compact"/>
      </w:pPr>
      <w:r>
        <w:t xml:space="preserve">When should you stop searching for a calcified canal?</w:t>
      </w:r>
    </w:p>
    <w:p>
      <w:pPr>
        <w:pStyle w:val="FirstParagraph"/>
      </w:pPr>
      <w:r>
        <w:t xml:space="preserve">Searching should stop when further dentin removal would risk perforation or compromise the structural integrity of the root.</w:t>
      </w:r>
    </w:p>
    <w:p>
      <w:pPr>
        <w:numPr>
          <w:ilvl w:val="0"/>
          <w:numId w:val="1096"/>
        </w:numPr>
        <w:pStyle w:val="Compact"/>
      </w:pPr>
      <w:r>
        <w:t xml:space="preserve">What is the prognosis for teeth with calcified canals?</w:t>
      </w:r>
    </w:p>
    <w:p>
      <w:pPr>
        <w:pStyle w:val="FirstParagraph"/>
      </w:pPr>
      <w:r>
        <w:t xml:space="preserve">Once successfully negotiated, the prognosis for teeth with calcified canals is comparable to that of non-calcified canals.</w:t>
      </w:r>
    </w:p>
    <w:bookmarkEnd w:id="46"/>
    <w:bookmarkEnd w:id="47"/>
    <w:bookmarkStart w:id="55" w:name="Xaf47da8459f46e8c6a669f029655ef08af30594"/>
    <w:p>
      <w:pPr>
        <w:pStyle w:val="Heading1"/>
      </w:pPr>
      <w:r>
        <w:t xml:space="preserve">5. Instrumentation</w:t>
      </w:r>
    </w:p>
    <w:bookmarkStart w:id="48" w:name="X9621b7580dd35e80ab552d1f9ee06c169023ca2"/>
    <w:p>
      <w:pPr>
        <w:pStyle w:val="Heading2"/>
      </w:pPr>
      <w:r>
        <w:t xml:space="preserve">5.1 Working Length Determination Method</w:t>
      </w:r>
    </w:p>
    <w:p>
      <w:pPr>
        <w:numPr>
          <w:ilvl w:val="0"/>
          <w:numId w:val="1097"/>
        </w:numPr>
        <w:pStyle w:val="Compact"/>
      </w:pPr>
      <w:r>
        <w:t xml:space="preserve">What is the accuracy of electronic apex locators vs. radiographic methods?</w:t>
      </w:r>
    </w:p>
    <w:p>
      <w:pPr>
        <w:pStyle w:val="FirstParagraph"/>
      </w:pPr>
      <w:r>
        <w:t xml:space="preserve">EALs are more reliable than radiographs because 92.4% of major foramina exit short of the anatomical apex {{cite: Burch and Hulen 1972 — 92.4% of major foramina exit short of the anatomic apex; radiographic apex overshoots the true foramen}}, meaning a radiographic "apex" reading will typically overshoot the true foramen. Modern EALs are 96% accurate at locating the apical foramen in clinical (in vivo) studies {{cite: Shabahang 1996 — in vivo clinical accuracy of fourth-generation EALs is 96% at or within 0.5 mm of the apical foramen}}. This clinical figure is more meaningful than in vitro results, which typically report higher accuracy because blood, tissue debris, and irrigants are absent. Clinically, 96% accuracy means approximately 1 in 20 readings may be inaccurate — reinforcing the value of corroborating the EAL reading with a check radiograph in ambiguous cases or when the reading conflicts with tactile feedback.</w:t>
      </w:r>
    </w:p>
    <w:p>
      <w:pPr>
        <w:numPr>
          <w:ilvl w:val="0"/>
          <w:numId w:val="1098"/>
        </w:numPr>
        <w:pStyle w:val="Compact"/>
      </w:pPr>
      <w:r>
        <w:t xml:space="preserve">What is the ideal working length endpoint (apical constriction, radiographic apex)?</w:t>
      </w:r>
    </w:p>
    <w:p>
      <w:pPr>
        <w:pStyle w:val="FirstParagraph"/>
      </w:pPr>
      <w:r>
        <w:t xml:space="preserve">The ideal endpoint is the minor apical constriction since it is a biological constriction/stop and histological research shows that obturation to and not beyond the minor apical constriction shows the best healing and least inflammation (Ricucci, Langeland).</w:t>
      </w:r>
    </w:p>
    <w:p>
      <w:pPr>
        <w:numPr>
          <w:ilvl w:val="0"/>
          <w:numId w:val="1099"/>
        </w:numPr>
        <w:pStyle w:val="Compact"/>
      </w:pPr>
      <w:r>
        <w:t xml:space="preserve">How should working length be determined with EAL?</w:t>
      </w:r>
    </w:p>
    <w:p>
      <w:pPr>
        <w:pStyle w:val="FirstParagraph"/>
      </w:pPr>
      <w:r>
        <w:t xml:space="preserve">The average distance between the major and minor apical foramina is 0.524 mm in younger teeth and 0.659 mm in older teeth {{cite: Kuttler 1955}}. The apical constriction itself is 0.2–0.3 mm long {{cite: Dummer 1984}}. Because EALs are more accurate at locating the major foramen than the minor foramen (Ounsi and Naaman), a prudent approach is to subtract 0.5–1.0 mm from the "0" or "apex" reading to approximate the minor constriction. {{cite: Ricucci and Langeland 1998 — obturation to the minor apical constriction shows best periapical healing and least inflammation; minor constriction lies ~0.5–1.0 mm coronal to the major foramen}}</w:t>
      </w:r>
    </w:p>
    <w:p>
      <w:pPr>
        <w:numPr>
          <w:ilvl w:val="0"/>
          <w:numId w:val="1100"/>
        </w:numPr>
        <w:pStyle w:val="Compact"/>
      </w:pPr>
      <w:r>
        <w:t xml:space="preserve">How do canal conditions affect EAL accuracy?</w:t>
      </w:r>
    </w:p>
    <w:p>
      <w:pPr>
        <w:pStyle w:val="FirstParagraph"/>
      </w:pPr>
      <w:r>
        <w:t xml:space="preserve">Foramen diameters larger than 0.6 mm reduce EAL accuracy (Herrera). Irrigants do not meaningfully affect EAL accuracy unless they pool and communicate with the periodontal ligament — as can occur in teeth with large carious lesions or open margins.</w:t>
      </w:r>
    </w:p>
    <w:p>
      <w:pPr>
        <w:numPr>
          <w:ilvl w:val="0"/>
          <w:numId w:val="1101"/>
        </w:numPr>
        <w:pStyle w:val="Compact"/>
      </w:pPr>
      <w:r>
        <w:t xml:space="preserve">What is the evidence for maintaining working length during instrumentation?</w:t>
      </w:r>
    </w:p>
    <w:p>
      <w:pPr>
        <w:pStyle w:val="FirstParagraph"/>
      </w:pPr>
      <w:r>
        <w:t xml:space="preserve">Maintaining apical patency throughout instrumentation reduces packing of debris at the apex, prevents vapor lock, and improves irrigant penetration into the apical third {{cite: Vera 2012}}.</w:t>
      </w:r>
    </w:p>
    <w:bookmarkEnd w:id="48"/>
    <w:bookmarkStart w:id="49" w:name="X2488663fc849492dcd51c12230ff6d45a26bb59"/>
    <w:p>
      <w:pPr>
        <w:pStyle w:val="Heading2"/>
      </w:pPr>
      <w:r>
        <w:t xml:space="preserve">5.2 Glide Path Establishment</w:t>
      </w:r>
    </w:p>
    <w:p>
      <w:pPr>
        <w:numPr>
          <w:ilvl w:val="0"/>
          <w:numId w:val="1102"/>
        </w:numPr>
        <w:pStyle w:val="Compact"/>
      </w:pPr>
      <w:r>
        <w:t xml:space="preserve">What is the rationale for establishing a glide path?</w:t>
      </w:r>
    </w:p>
    <w:p>
      <w:pPr>
        <w:pStyle w:val="FirstParagraph"/>
      </w:pPr>
      <w:r>
        <w:t xml:space="preserve">A glide path is a smooth, reproducible path from the canal orifice to the apical terminus. It reduces torsional and flexural stress at the NiTi file tip. Without a patent glide path, rotary files risk taper lock and separation because the tip engages dentin before the body can rotate freely. Coronal flaring prior to apical instrumentation straightens the coronal third, improving irrigant access, reducing ledging risk, and allowing more accurate EAL and radiographic working length determination. Coronal pre-flaring helps with accurate WL determination (Ibarrola et al), and its effect on final working length is clinically insignificant (Schroeder et al).</w:t>
      </w:r>
    </w:p>
    <w:p>
      <w:pPr>
        <w:numPr>
          <w:ilvl w:val="0"/>
          <w:numId w:val="1103"/>
        </w:numPr>
        <w:pStyle w:val="Compact"/>
      </w:pPr>
      <w:r>
        <w:t xml:space="preserve">What size glide path is recommended before rotary instrumentation?</w:t>
      </w:r>
    </w:p>
    <w:p>
      <w:pPr>
        <w:pStyle w:val="FirstParagraph"/>
      </w:pPr>
      <w:r>
        <w:t xml:space="preserve">A minimum glide path of ISO #15–20 K-file is generally recommended before introducing NiTi rotaries. Dedicated glide path systems (ProGlider, PathFile) enlarge the glide path to approximately ISO #19 at 2% taper. A larger glide path diameter decreases the incidence of rotary file separation. Berutti et al found that pre-enlarging to a #15 hand file before ProTaper use significantly reduced fracture rates.</w:t>
      </w:r>
    </w:p>
    <w:p>
      <w:pPr>
        <w:numPr>
          <w:ilvl w:val="0"/>
          <w:numId w:val="1104"/>
        </w:numPr>
        <w:pStyle w:val="Compact"/>
      </w:pPr>
      <w:r>
        <w:t xml:space="preserve">Manual vs. mechanical glide path: what does the evidence show?</w:t>
      </w:r>
    </w:p>
    <w:p>
      <w:pPr>
        <w:pStyle w:val="FirstParagraph"/>
      </w:pPr>
      <w:r>
        <w:t xml:space="preserve">Mechanical glide path files (PathFile, ProGlider, One G) use memory-free alloys and small tapers to safely negotiate tight, curved canals. Arias et al found that mechanical glide path preparation with PathFile was faster and produced comparable canal transportation to manual glide pathing. ProGlider demonstrated less canal transportation than hand-file glide pathing in simulated canals (Patiño et al). For very calcified or severely curved canals, hand files (#6, #8, #10 with watch-winding) remain the safest first-line approach before any rotary.</w:t>
      </w:r>
    </w:p>
    <w:p>
      <w:pPr>
        <w:numPr>
          <w:ilvl w:val="0"/>
          <w:numId w:val="1105"/>
        </w:numPr>
        <w:pStyle w:val="Compact"/>
      </w:pPr>
      <w:r>
        <w:t xml:space="preserve">What is the purpose of coronal flaring?</w:t>
      </w:r>
    </w:p>
    <w:p>
      <w:pPr>
        <w:pStyle w:val="FirstParagraph"/>
      </w:pPr>
      <w:r>
        <w:t xml:space="preserve">Coronal pre-flaring (Gates-Glidden drills, orifice openers, or large tapered rotaries used crown-down) removes restrictive dentin triangles in the coronal and middle thirds, reduces file deflection apically, improves irrigant exchange and NaOCl penetration, and increases apex locator accuracy by reducing coronal leakage currents. It should be performed before establishing working length in most cases.</w:t>
      </w:r>
    </w:p>
    <w:bookmarkEnd w:id="49"/>
    <w:bookmarkStart w:id="50" w:name="X97ffe65e48cd84a2627c4b93e8d8a46e15a8a63"/>
    <w:p>
      <w:pPr>
        <w:pStyle w:val="Heading2"/>
      </w:pPr>
      <w:r>
        <w:t xml:space="preserve">5.3 Instrument System Selection</w:t>
      </w:r>
    </w:p>
    <w:p>
      <w:pPr>
        <w:numPr>
          <w:ilvl w:val="0"/>
          <w:numId w:val="1106"/>
        </w:numPr>
        <w:pStyle w:val="Compact"/>
      </w:pPr>
      <w:r>
        <w:t xml:space="preserve">What are the advantages of different NiTi alloys (conventional, M-Wire, CM, Blue, Gold)?</w:t>
      </w:r>
    </w:p>
    <w:p>
      <w:pPr>
        <w:pStyle w:val="FirstParagraph"/>
      </w:pPr>
      <w:r>
        <w:t xml:space="preserve">Conventional NiTi (austenitic at body temperature) is stiffer and more prone to cyclic fatigue fracture in curved canals. M-Wire (Dentsply Sirona) uses thermomechanical processing to create a more fatigue-resistant wire; ProFile Vortex Blue uses a similar heat treatment. CM (controlled memory) wire — used in HyFlex CM, CanalPro CM — has an austenitic finish temperature above body temperature, so the file remains in the martensitic/R phase at clinical temperatures. This substantially increases flexibility and cyclic fatigue resistance (Shen et al 2011). CM files can be pre-bent and will hold the bend, useful in severely curved canals. Gold wire (WaveOne Gold, Reciproc Blue) undergoes a proprietary heat treatment that increases flexibility and cyclic fatigue resistance compared to M-Wire; Reciproc Blue showed significantly superior cyclic fatigue resistance over standard Reciproc in laboratory testing (Zupanc et al 2018). Ranked by cyclic fatigue resistance: Gold &gt; CM &gt; M-Wire &gt; conventional NiTi.</w:t>
      </w:r>
    </w:p>
    <w:p>
      <w:pPr>
        <w:numPr>
          <w:ilvl w:val="0"/>
          <w:numId w:val="1107"/>
        </w:numPr>
        <w:pStyle w:val="Compact"/>
      </w:pPr>
      <w:r>
        <w:t xml:space="preserve">How do instrument design features affect performance (cross-section, taper, flute design)?</w:t>
      </w:r>
    </w:p>
    <w:p>
      <w:pPr>
        <w:pStyle w:val="FirstParagraph"/>
      </w:pPr>
      <w:r>
        <w:t xml:space="preserve">Cross-section geometry affects cutting efficiency and debris removal. Triangular cross-sections (ProTaper, K3) have high cutting efficiency due to positive rake angles. S-shaped cross-sections (ProFile, Mtwo) have neutral rake angles and remove dentin more conservatively. Rectangular cross-sections (Reciproc) provide a scraping action via a negative rake angle. Variable taper (progressive taper in ProTaper) concentrates stress at a single point and may increase fracture risk versus fixed-taper designs. Increased pitch (more flutes per unit length) improves debris removal but increases the screw-in effect. Alternating pitch reduces screw-in effect and vibration. Off-center or radial-land designs reduce canal transportation by allowing the file to ride the canal wall.</w:t>
      </w:r>
    </w:p>
    <w:p>
      <w:pPr>
        <w:numPr>
          <w:ilvl w:val="0"/>
          <w:numId w:val="1108"/>
        </w:numPr>
        <w:pStyle w:val="Compact"/>
      </w:pPr>
      <w:r>
        <w:t xml:space="preserve">Is there evidence that one system produces better outcomes than another?</w:t>
      </w:r>
    </w:p>
    <w:p>
      <w:pPr>
        <w:pStyle w:val="FirstParagraph"/>
      </w:pPr>
      <w:r>
        <w:t xml:space="preserve">Large outcome RCTs comparing individual NiTi systems are scarce. NiTi rotary systems as a class produce better-centered preparations with less transportation than hand instrumentation. Short found that rotary file systems stayed more centered in the canal compared to reciprocating file systems. Peters et al showed that no rotary system completely instrumented all canal wall surfaces (35–80% of walls left untouched), underscoring that irrigation is more important than instrument selection for disinfection. A 2020 systematic review (Plotino et al) found no clinically significant difference in periapical healing outcomes between different NiTi systems when proper technique and irrigation were employed.</w:t>
      </w:r>
    </w:p>
    <w:bookmarkEnd w:id="50"/>
    <w:bookmarkStart w:id="51" w:name="X0c7e8da16b35ac687bc6770aa0fe8254d576561"/>
    <w:p>
      <w:pPr>
        <w:pStyle w:val="Heading2"/>
      </w:pPr>
      <w:r>
        <w:t xml:space="preserve">5.4 Apical Preparation Size Determination</w:t>
      </w:r>
    </w:p>
    <w:p>
      <w:pPr>
        <w:numPr>
          <w:ilvl w:val="0"/>
          <w:numId w:val="1109"/>
        </w:numPr>
        <w:pStyle w:val="Compact"/>
      </w:pPr>
      <w:r>
        <w:t xml:space="preserve">What is the rationale for larger apical preparations?</w:t>
      </w:r>
    </w:p>
    <w:p>
      <w:pPr>
        <w:pStyle w:val="FirstParagraph"/>
      </w:pPr>
      <w:r>
        <w:t xml:space="preserve">Larger apical preparations allow irrigant to reach and disinfect the apical portion of the canal system. As apical size increases, the volume of irrigant delivered to the apical third increases substantially. Adequately sized preparations also allow better debris removal and reduce the likelihood of a vapor lock that impedes irrigant flow.</w:t>
      </w:r>
    </w:p>
    <w:p>
      <w:pPr>
        <w:numPr>
          <w:ilvl w:val="0"/>
          <w:numId w:val="1110"/>
        </w:numPr>
        <w:pStyle w:val="Compact"/>
      </w:pPr>
      <w:r>
        <w:t xml:space="preserve">What is the minimum apical size for adequate disinfection?</w:t>
      </w:r>
    </w:p>
    <w:p>
      <w:pPr>
        <w:pStyle w:val="FirstParagraph"/>
      </w:pPr>
      <w:r>
        <w:t xml:space="preserve">The minimal apical size is a #30 K-file (Sulzberger and Brilliant). However, Aminosharie and Kulild found there was no significant difference in bacterial reduction between final preparation sizes of 25 and 40 K-file, suggesting thorough irrigation may compensate for smaller preparation size. A commonly cited benchmark is preparation to at least #25 with 4–6% NaOCl and activation to achieve adequate disinfection.</w:t>
      </w:r>
    </w:p>
    <w:p>
      <w:pPr>
        <w:numPr>
          <w:ilvl w:val="0"/>
          <w:numId w:val="1111"/>
        </w:numPr>
        <w:pStyle w:val="Compact"/>
      </w:pPr>
      <w:r>
        <w:t xml:space="preserve">How does original canal anatomy influence final apical size?</w:t>
      </w:r>
    </w:p>
    <w:p>
      <w:pPr>
        <w:pStyle w:val="FirstParagraph"/>
      </w:pPr>
      <w:r>
        <w:t xml:space="preserve">The recommendation is to increase the apical file size by at least three ISO sizes beyond the first file that binds at the apex (the "first apical binding file" concept) to ensure adequate dentin removal and eliminate more bacteria (Mickel). In canals with large original anatomy, a larger apical preparation may be needed. In immature teeth (open apices), the goal shifts from shaping to irrigation and medicament placement, as aggressive apical enlargement is contraindicated.</w:t>
      </w:r>
    </w:p>
    <w:p>
      <w:pPr>
        <w:numPr>
          <w:ilvl w:val="0"/>
          <w:numId w:val="1112"/>
        </w:numPr>
        <w:pStyle w:val="Compact"/>
      </w:pPr>
      <w:r>
        <w:t xml:space="preserve">What are the downsides to preparing past the apex?</w:t>
      </w:r>
    </w:p>
    <w:p>
      <w:pPr>
        <w:pStyle w:val="FirstParagraph"/>
      </w:pPr>
      <w:r>
        <w:t xml:space="preserve">Transportation occurs regardless of file size and instrument type when passing files through the apex for patency (Goldberg and Massone). Over-instrumentation past the apical foramen disrupts the apical constriction, converts a favorable apical anatomy into a larger and less predictable termination point, and extrudes debris and irrigants into the periapical tissues — increasing post-operative pain and potentially seeding a healing lesion with bacteria. Extrusion of NaOCl past the apex can cause severe soft tissue injury (NaOCl accident). The goal is instrumentation to the minor apical constriction, not beyond.</w:t>
      </w:r>
    </w:p>
    <w:bookmarkEnd w:id="51"/>
    <w:bookmarkStart w:id="52" w:name="X1efc14a932ab91a8bac26b4039dba82482e2af3"/>
    <w:p>
      <w:pPr>
        <w:pStyle w:val="Heading2"/>
      </w:pPr>
      <w:r>
        <w:t xml:space="preserve">5.5 Taper Selection</w:t>
      </w:r>
    </w:p>
    <w:p>
      <w:pPr>
        <w:numPr>
          <w:ilvl w:val="0"/>
          <w:numId w:val="1113"/>
        </w:numPr>
        <w:pStyle w:val="Compact"/>
      </w:pPr>
      <w:r>
        <w:t xml:space="preserve">What are the advantages and disadvantages of larger tapers?</w:t>
      </w:r>
    </w:p>
    <w:p>
      <w:pPr>
        <w:pStyle w:val="FirstParagraph"/>
      </w:pPr>
      <w:r>
        <w:t xml:space="preserve">Larger tapers (e.g., 0.06, 0.08) create a pronounced funnel shape that facilitates irrigant flow, hydraulic activation, and carrier-based obturation. However, larger tapers remove significantly more radicular dentin in the middle and cervical thirds, weakening the root and increasing the risk of vertical root fracture. Lam et al showed that aggressive coronal tapers reduce fracture resistance, particularly in teeth with thin dentinal walls (mandibular incisors, mesial roots of mandibular molars). A conservative approach — smaller taper (0.02–0.04) combined with adequate apical size — is increasingly recommended for slender roots.</w:t>
      </w:r>
    </w:p>
    <w:p>
      <w:pPr>
        <w:numPr>
          <w:ilvl w:val="0"/>
          <w:numId w:val="1114"/>
        </w:numPr>
        <w:pStyle w:val="Compact"/>
      </w:pPr>
      <w:r>
        <w:t xml:space="preserve">How does taper affect irrigation efficacy?</w:t>
      </w:r>
    </w:p>
    <w:p>
      <w:pPr>
        <w:pStyle w:val="FirstParagraph"/>
      </w:pPr>
      <w:r>
        <w:t xml:space="preserve">Greater taper creates a larger irrigant reservoir in the coronal and middle thirds and reduces the apical dead zone. Usman et al showed that 0.06 taper preparations allowed deeper irrigant penetration than 0.02 taper preparations. However, tapers above 0.06 provide diminishing returns in irrigation efficacy while substantially increasing dentin removal. Irrigant activation (sonic, ultrasonic) compensates for smaller taper by improving fluid dynamics, making large tapers less necessary when activation is used.</w:t>
      </w:r>
    </w:p>
    <w:p>
      <w:pPr>
        <w:numPr>
          <w:ilvl w:val="0"/>
          <w:numId w:val="1115"/>
        </w:numPr>
        <w:pStyle w:val="Compact"/>
      </w:pPr>
      <w:r>
        <w:t xml:space="preserve">How does taper affect tooth fracture resistance?</w:t>
      </w:r>
    </w:p>
    <w:p>
      <w:pPr>
        <w:pStyle w:val="FirstParagraph"/>
      </w:pPr>
      <w:r>
        <w:t xml:space="preserve">Higher taper preparations significantly reduce fracture resistance. Lam et al found that 0.06 taper preparations were significantly weaker than 0.04 taper preparations in extracted teeth under cyclic loading. Rundquist and Versluis confirmed that increased taper concentrates stress at the apical and middle thirds. For thin roots and posterior teeth with narrow roots, a conservative 0.04 or 0.02 taper at the apical third with a wider coronal shape is preferable.</w:t>
      </w:r>
    </w:p>
    <w:bookmarkEnd w:id="52"/>
    <w:bookmarkStart w:id="53" w:name="Xa71fb2be60cc54323ce3f5f3a57e97883a30db0"/>
    <w:p>
      <w:pPr>
        <w:pStyle w:val="Heading2"/>
      </w:pPr>
      <w:r>
        <w:t xml:space="preserve">5.6 Single File vs. Multiple File Sequences</w:t>
      </w:r>
    </w:p>
    <w:p>
      <w:pPr>
        <w:numPr>
          <w:ilvl w:val="0"/>
          <w:numId w:val="1116"/>
        </w:numPr>
        <w:pStyle w:val="Compact"/>
      </w:pPr>
      <w:r>
        <w:t xml:space="preserve">What is the evidence comparing single-file vs. multi-file systems?</w:t>
      </w:r>
    </w:p>
    <w:p>
      <w:pPr>
        <w:pStyle w:val="FirstParagraph"/>
      </w:pPr>
      <w:r>
        <w:t xml:space="preserve">Single-file reciprocating systems (WaveOne, Reciproc, F6 SkyTaper) use asymmetric reciprocation (larger CW angle, smaller CCW angle) to advance apically while reducing cyclic fatigue. Laboratory studies show comparable or slightly more canal transportation compared to rotary multi-file sequences, particularly in curved canals. Sun et al found that traditional multi-file rotary systems produced less postoperative pain compared to single reciprocating file systems and hand instrumentation. A 2016 meta-analysis by Hin et al found no significant difference in periapical healing between single-file and multi-file systems at 12 months.</w:t>
      </w:r>
    </w:p>
    <w:p>
      <w:pPr>
        <w:numPr>
          <w:ilvl w:val="0"/>
          <w:numId w:val="1117"/>
        </w:numPr>
        <w:pStyle w:val="Compact"/>
      </w:pPr>
      <w:r>
        <w:t xml:space="preserve">What are the advantages of single-file systems?</w:t>
      </w:r>
    </w:p>
    <w:p>
      <w:pPr>
        <w:pStyle w:val="FirstParagraph"/>
      </w:pPr>
      <w:r>
        <w:t xml:space="preserve">Single-file systems reduce overall instrumentation time and minimize cross-contamination risk (single-use recommended by manufacturers). They reduce procedural complexity and the number of instruments tracked. For general practitioners or time-constrained settings, single-file systems produce adequate results with a simplified learning curve. Reciprocating motion reduces cyclic fatigue stress on any single instrument cross-section, potentially decreasing fracture risk versus continuous rotation at the same torque.</w:t>
      </w:r>
    </w:p>
    <w:p>
      <w:pPr>
        <w:numPr>
          <w:ilvl w:val="0"/>
          <w:numId w:val="1118"/>
        </w:numPr>
        <w:pStyle w:val="Compact"/>
      </w:pPr>
      <w:r>
        <w:t xml:space="preserve">When might multi-file sequences be preferred?</w:t>
      </w:r>
    </w:p>
    <w:p>
      <w:pPr>
        <w:pStyle w:val="FirstParagraph"/>
      </w:pPr>
      <w:r>
        <w:t xml:space="preserve">Multi-file rotary sequences allow progressive crown-down preparation, better staged debris removal, and more predictable shaping in complex canal morphologies (severe curvatures, S-shaped canals, type III configurations). They allow the operator to use smaller instruments first to gauge canal resistance before committing to a larger apical preparation. Systems with dedicated glide path files (e.g., ProGlider + ProTaper Next, or PathFile + WaveOne Gold) offer hybrid approaches that blend single-file efficiency with progressive safety.</w:t>
      </w:r>
    </w:p>
    <w:bookmarkEnd w:id="53"/>
    <w:bookmarkStart w:id="54" w:name="X9e358c109a0b9f9a2c12f87805f2668243a57e0"/>
    <w:p>
      <w:pPr>
        <w:pStyle w:val="Heading2"/>
      </w:pPr>
      <w:r>
        <w:t xml:space="preserve">5.7 Hand vs. Rotary vs. Reciprocating Instrumentation</w:t>
      </w:r>
    </w:p>
    <w:p>
      <w:pPr>
        <w:numPr>
          <w:ilvl w:val="0"/>
          <w:numId w:val="1119"/>
        </w:numPr>
        <w:pStyle w:val="Compact"/>
      </w:pPr>
      <w:r>
        <w:t xml:space="preserve">What is the evidence comparing rotary and reciprocating motion?</w:t>
      </w:r>
    </w:p>
    <w:p>
      <w:pPr>
        <w:pStyle w:val="FirstParagraph"/>
      </w:pPr>
      <w:r>
        <w:t xml:space="preserve">Continuous rotary motion produces faster cutting with good tactile feedback but imposes continuous cyclic fatigue on the instrument. Reciprocating motion (asymmetric: larger angle of engagement in the cutting direction, smaller angle in the release direction) reduces cyclic fatigue per work cycle and allows disengagement before the instrument reaches its elastic limit. In vitro cyclic fatigue studies consistently show reciprocating files fracture after significantly more cycles than the same files in continuous rotation. However, reciprocating instruments are generally single-use, and their debris extrusion is comparable to or slightly higher than rotary systems (Bürklein and Schäfer 2012). Short found that rotary file systems stayed more centered in the canal compared to reciprocating file systems. Clinical outcome studies have not demonstrated a significant difference in success rates between motion types.</w:t>
      </w:r>
    </w:p>
    <w:p>
      <w:pPr>
        <w:numPr>
          <w:ilvl w:val="0"/>
          <w:numId w:val="1120"/>
        </w:numPr>
        <w:pStyle w:val="Compact"/>
      </w:pPr>
      <w:r>
        <w:t xml:space="preserve">When is hand instrumentation still indicated?</w:t>
      </w:r>
    </w:p>
    <w:p>
      <w:pPr>
        <w:pStyle w:val="FirstParagraph"/>
      </w:pPr>
      <w:r>
        <w:t xml:space="preserve">Hand instrumentation remains essential for: (1) initial negotiation of calcified, blocked, or severely curved canals where powered rotation would risk ledging or separation; (2) establishing the glide path (#6, #8, #10 with watch-winding or balanced-force technique); (3) maintaining apical patency throughout instrumentation — a small hand file (#8 or #10) to the full working length maintains the foramen patent, decreases debris packing at the apex, reduces vapor lock, and increases irrigant efficacy at the apex {{cite: Vera 2012}}; (4) retreatment cases where gutta-percha or sealer must be engaged and removed before rotary retreatment files are safe; and (5) procedural emergencies such as separated instrument bypass attempts using pre-bent hand files.</w:t>
      </w:r>
    </w:p>
    <w:p>
      <w:pPr>
        <w:numPr>
          <w:ilvl w:val="0"/>
          <w:numId w:val="1121"/>
        </w:numPr>
        <w:pStyle w:val="Compact"/>
      </w:pPr>
      <w:r>
        <w:t xml:space="preserve">How does motion type affect instrument fracture risk and canal transportation?</w:t>
      </w:r>
    </w:p>
    <w:p>
      <w:pPr>
        <w:pStyle w:val="FirstParagraph"/>
      </w:pPr>
      <w:r>
        <w:t xml:space="preserve">Torsional fracture occurs when the file tip locks in the canal while the body continues to rotate, exceeding the file's torsional limit — most common in tight, calcified canals. Cyclic fatigue fracture results from repeated tension-compression cycles as the file flexes around a curve; it is the dominant failure mode in curved canals and is independent of torsional load. Reciprocating motion reduces cyclic fatigue accumulation per stroke but does not eliminate torsional fracture risk if the file is forced apically. Canal transportation is determined more by instrument taper and rigidity than by motion type; stiffer files with larger tapers transport canals more regardless of rotary or reciprocating motion. CM and Gold alloy instruments, due to their superelastic martensitic behavior at body temperature, produce significantly less transportation than conventional NiTi in curved canals.</w:t>
      </w:r>
    </w:p>
    <w:bookmarkEnd w:id="54"/>
    <w:bookmarkEnd w:id="55"/>
    <w:bookmarkStart w:id="61" w:name="X6f14ccb3f03397ad00dd63e29fa9a30b051fd2f"/>
    <w:p>
      <w:pPr>
        <w:pStyle w:val="Heading1"/>
      </w:pPr>
      <w:r>
        <w:t xml:space="preserve">6. Irrigation and Disinfection</w:t>
      </w:r>
    </w:p>
    <w:bookmarkStart w:id="56" w:name="X7e24e9c0df8d193dedcec527a85ef0d7fd8ae51"/>
    <w:p>
      <w:pPr>
        <w:pStyle w:val="Heading2"/>
      </w:pPr>
      <w:r>
        <w:t xml:space="preserve">6.1 Irrigant Selection and Concentration</w:t>
      </w:r>
    </w:p>
    <w:p>
      <w:pPr>
        <w:numPr>
          <w:ilvl w:val="0"/>
          <w:numId w:val="1122"/>
        </w:numPr>
        <w:pStyle w:val="Compact"/>
      </w:pPr>
      <w:r>
        <w:t xml:space="preserve">What is the rationale for sodium hypochlorite as the primary irrigant?</w:t>
      </w:r>
    </w:p>
    <w:p>
      <w:pPr>
        <w:pStyle w:val="FirstParagraph"/>
      </w:pPr>
      <w:r>
        <w:t xml:space="preserve">NaOCl flushes debris and kills bacteria. This is important because after instrumentation 35% of canal walls remain untouched {{cite: Peters 2001 — 35% of canal walls remain untouched after rotary instrumentation, underscoring dependence on chemical disinfection}}. NaOCl should be continuously replenished since it can be inactivated by dentin in as few as 60 seconds (Arias-Moliz).</w:t>
      </w:r>
    </w:p>
    <w:p>
      <w:pPr>
        <w:numPr>
          <w:ilvl w:val="0"/>
          <w:numId w:val="1123"/>
        </w:numPr>
        <w:pStyle w:val="Compact"/>
      </w:pPr>
      <w:r>
        <w:t xml:space="preserve">What concentration of NaOCl provides optimal tissue dissolution vs. safety?</w:t>
      </w:r>
    </w:p>
    <w:p>
      <w:pPr>
        <w:pStyle w:val="FirstParagraph"/>
      </w:pPr>
      <w:r>
        <w:t xml:space="preserve">5.25% NaOCl demonstrates the greatest tissue-dissolution capacity {{cite: Hand 1978 — 5.25% NaOCl has greatest tissue-dissolution capacity among tested concentrations}}. The basis for preferring higher concentration is that tissue dissolution is concentration-dependent: the active dissolving agent is hypochlorous acid (HOCl), whose concentration is proportional to the NaOCl concentration. At concentrations below 2.5%, dissolution of vital pulp remnants is markedly impaired, leaving more residual organic substrate in the canal. At 5.25%, HOCl is present in sufficient concentration to dissolve both necrotic and vital tissue within clinically relevant contact times {{cite: Zehnder 2006 — NaOCl physiology review: tissue dissolution is concentration-dependent; 5.25% provides superior HOCl activity over lower concentrations for dissolving both necrotic and vital pulp tissue}}. The practical tradeoff: 5.25% is more cytotoxic if extruded beyond the apex. Some clinicians use 2.5–3% combined with irrigant activation (PUI/sonic) and longer contact times as a safer alternative that can approach equivalent disinfection. Clinically, concentrations between 2.5% and 5.25% are most commonly used.</w:t>
      </w:r>
    </w:p>
    <w:p>
      <w:pPr>
        <w:numPr>
          <w:ilvl w:val="0"/>
          <w:numId w:val="1124"/>
        </w:numPr>
        <w:pStyle w:val="Compact"/>
      </w:pPr>
      <w:r>
        <w:t xml:space="preserve">What are the indications for chlorhexidine as an irrigant?</w:t>
      </w:r>
    </w:p>
    <w:p>
      <w:pPr>
        <w:pStyle w:val="FirstParagraph"/>
      </w:pPr>
      <w:r>
        <w:t xml:space="preserve">Chlorhexidine may be useful for patients with a documented NaOCl allergy and as a final rinse to extend substantive antimicrobial activity. Chlorhexidine should not be mixed with NaOCl directly because the combination produces parachloroaniline, a potential cytotoxic and carcinogenic byproduct {{cite: Basrani 2007 — NaOCl + CHX combination produces parachloroaniline precipitate; clinical significance debated}} — though the clinical significance of this finding has been challenged by more recent work from Orhan.</w:t>
      </w:r>
    </w:p>
    <w:p>
      <w:pPr>
        <w:numPr>
          <w:ilvl w:val="0"/>
          <w:numId w:val="1125"/>
        </w:numPr>
        <w:pStyle w:val="Compact"/>
      </w:pPr>
      <w:r>
        <w:t xml:space="preserve">What is the role of EDTA in the irrigation protocol?</w:t>
      </w:r>
    </w:p>
    <w:p>
      <w:pPr>
        <w:pStyle w:val="FirstParagraph"/>
      </w:pPr>
      <w:r>
        <w:t xml:space="preserve">EDTA chelates inorganic calcium in the smear layer, removing it and exposing the underlying dentinal tubules for irrigant penetration and sealer adaptation (Calt and Serper).</w:t>
      </w:r>
    </w:p>
    <w:p>
      <w:pPr>
        <w:numPr>
          <w:ilvl w:val="0"/>
          <w:numId w:val="1126"/>
        </w:numPr>
        <w:pStyle w:val="Compact"/>
      </w:pPr>
      <w:r>
        <w:t xml:space="preserve">Should NaOCl and EDTA be alternated throughout instrumentation?</w:t>
      </w:r>
    </w:p>
    <w:p>
      <w:pPr>
        <w:pStyle w:val="FirstParagraph"/>
      </w:pPr>
      <w:r>
        <w:t xml:space="preserve">No. Baumgartner and Mader showed that alternating NaOCl and EDTA throughout instrumentation causes excessive loss of intertubular dentin. The recommended protocol is to use NaOCl throughout instrumentation, then EDTA as a one-minute penultimate rinse for smear layer removal, followed by a final NaOCl rinse. The final NaOCl rinse is justified by Sen et al.'s finding that a retained smear layer reduces the disinfecting activity of both CHX and NaOCl.</w:t>
      </w:r>
    </w:p>
    <w:p>
      <w:pPr>
        <w:numPr>
          <w:ilvl w:val="0"/>
          <w:numId w:val="1127"/>
        </w:numPr>
        <w:pStyle w:val="Compact"/>
      </w:pPr>
      <w:r>
        <w:t xml:space="preserve">Could ozone be useful?</w:t>
      </w:r>
    </w:p>
    <w:p>
      <w:pPr>
        <w:pStyle w:val="FirstParagraph"/>
      </w:pPr>
      <w:r>
        <w:t xml:space="preserve">No. Ozone is less effective than NaOCl as a root canal irrigant, and combining ozone with NaOCl offers no benefit over NaOCl alone {{cite: Silva 2020}}.</w:t>
      </w:r>
    </w:p>
    <w:bookmarkEnd w:id="56"/>
    <w:bookmarkStart w:id="57" w:name="Xadd653e7a4030c0b0a66e64900c74ae096c5159"/>
    <w:p>
      <w:pPr>
        <w:pStyle w:val="Heading2"/>
      </w:pPr>
      <w:r>
        <w:t xml:space="preserve">6.2 Irrigation Delivery Method</w:t>
      </w:r>
    </w:p>
    <w:p>
      <w:pPr>
        <w:numPr>
          <w:ilvl w:val="0"/>
          <w:numId w:val="1128"/>
        </w:numPr>
        <w:pStyle w:val="Compact"/>
      </w:pPr>
      <w:r>
        <w:t xml:space="preserve">What needle gauge and type is optimal for irrigation?</w:t>
      </w:r>
    </w:p>
    <w:p>
      <w:pPr>
        <w:pStyle w:val="FirstParagraph"/>
      </w:pPr>
      <w:r>
        <w:t xml:space="preserve">A 30-gauge side-vented needle is optimal. Side-venting reduces the risk of apical extrusion compared with end-venting needles {{cite: Boutsioukis 2010}}.</w:t>
      </w:r>
    </w:p>
    <w:p>
      <w:pPr>
        <w:numPr>
          <w:ilvl w:val="0"/>
          <w:numId w:val="1129"/>
        </w:numPr>
        <w:pStyle w:val="Compact"/>
      </w:pPr>
      <w:r>
        <w:t xml:space="preserve">How far from working length should the needle be positioned?</w:t>
      </w:r>
    </w:p>
    <w:p>
      <w:pPr>
        <w:pStyle w:val="FirstParagraph"/>
      </w:pPr>
      <w:r>
        <w:t xml:space="preserve">The needle tip should be positioned approximately 1 mm short of working length to maximize apical irrigant exchange while minimizing extrusion risk {{cite: Boutsioukis 2010}} {{cite: Sedley 2005}}.</w:t>
      </w:r>
    </w:p>
    <w:p>
      <w:pPr>
        <w:numPr>
          <w:ilvl w:val="0"/>
          <w:numId w:val="1130"/>
        </w:numPr>
        <w:pStyle w:val="Compact"/>
      </w:pPr>
      <w:r>
        <w:t xml:space="preserve">What flow rate and volume is recommended?</w:t>
      </w:r>
    </w:p>
    <w:p>
      <w:pPr>
        <w:pStyle w:val="FirstParagraph"/>
      </w:pPr>
      <w:r>
        <w:t xml:space="preserve">No single evidence-based flow rate is universally accepted, but a total irrigation volume of at least 10–20 mL of NaOCl per canal with continuous replenishment is commonly recommended. Slow, passive delivery reduces the risk of apical extrusion.</w:t>
      </w:r>
    </w:p>
    <w:p>
      <w:pPr>
        <w:numPr>
          <w:ilvl w:val="0"/>
          <w:numId w:val="1131"/>
        </w:numPr>
        <w:pStyle w:val="Compact"/>
      </w:pPr>
      <w:r>
        <w:t xml:space="preserve">What is the evidence for negative pressure irrigation systems?</w:t>
      </w:r>
    </w:p>
    <w:p>
      <w:pPr>
        <w:pStyle w:val="FirstParagraph"/>
      </w:pPr>
      <w:r>
        <w:t xml:space="preserve">Negative-pressure systems (e.g., EndoVac) deliver irrigant to working length while evacuating it coronally, which reduces the risk of apical extrusion and may improve apical debridement. Clinical outcome studies have not consistently demonstrated a benefit over conventional side-vented positive-pressure irrigation.</w:t>
      </w:r>
    </w:p>
    <w:bookmarkEnd w:id="57"/>
    <w:bookmarkStart w:id="58" w:name="X161199ff0baa9078ad649206359b9af1a5e7639"/>
    <w:p>
      <w:pPr>
        <w:pStyle w:val="Heading2"/>
      </w:pPr>
      <w:r>
        <w:t xml:space="preserve">6.3 Activation Technique Selection</w:t>
      </w:r>
    </w:p>
    <w:p>
      <w:pPr>
        <w:numPr>
          <w:ilvl w:val="0"/>
          <w:numId w:val="1132"/>
        </w:numPr>
        <w:pStyle w:val="Compact"/>
      </w:pPr>
      <w:r>
        <w:t xml:space="preserve">What is the evidence for and against passive ultrasonic irrigation (PUI)?</w:t>
      </w:r>
    </w:p>
    <w:p>
      <w:pPr>
        <w:pStyle w:val="FirstParagraph"/>
      </w:pPr>
      <w:r>
        <w:t xml:space="preserve">PUI is more effective than conventional syringe irrigation at removing debris from canal depressions, isthmuses, and fins (Malki). However, Liang found no significant improvement in periapical healing outcomes when PUI was added to the protocol.</w:t>
      </w:r>
    </w:p>
    <w:p>
      <w:pPr>
        <w:numPr>
          <w:ilvl w:val="0"/>
          <w:numId w:val="1133"/>
        </w:numPr>
        <w:pStyle w:val="Compact"/>
      </w:pPr>
      <w:r>
        <w:t xml:space="preserve">How does sonic activation compare to ultrasonic?</w:t>
      </w:r>
    </w:p>
    <w:p>
      <w:pPr>
        <w:pStyle w:val="FirstParagraph"/>
      </w:pPr>
      <w:r>
        <w:t xml:space="preserve">Sonic activation provides debridement equivalent to PUI (Jensen et al.).</w:t>
      </w:r>
    </w:p>
    <w:p>
      <w:pPr>
        <w:numPr>
          <w:ilvl w:val="0"/>
          <w:numId w:val="1134"/>
        </w:numPr>
        <w:pStyle w:val="Compact"/>
      </w:pPr>
      <w:r>
        <w:t xml:space="preserve">What is the role of laser-activated irrigation?</w:t>
      </w:r>
    </w:p>
    <w:p>
      <w:pPr>
        <w:pStyle w:val="FirstParagraph"/>
      </w:pPr>
      <w:r>
        <w:t xml:space="preserve">Laser-activated irrigation (LAI, including photon-induced photoacoustic streaming) has been shown to produce greater microbial reduction than conventional irrigation (Chrepa).</w:t>
      </w:r>
    </w:p>
    <w:p>
      <w:pPr>
        <w:numPr>
          <w:ilvl w:val="0"/>
          <w:numId w:val="1135"/>
        </w:numPr>
        <w:pStyle w:val="Compact"/>
      </w:pPr>
      <w:r>
        <w:t xml:space="preserve">When is activation essential vs. beneficial?</w:t>
      </w:r>
    </w:p>
    <w:p>
      <w:pPr>
        <w:pStyle w:val="FirstParagraph"/>
      </w:pPr>
      <w:r>
        <w:t xml:space="preserve">While current evidence does not yet demonstrate improved clinical outcomes, irrigant activation consistently produces cleaner canals (Virdee et al.). It is beneficial in most cases and is especially valuable in complex anatomy — isthmuses, fins, and accessory anatomy.</w:t>
      </w:r>
    </w:p>
    <w:p>
      <w:pPr>
        <w:numPr>
          <w:ilvl w:val="0"/>
          <w:numId w:val="1136"/>
        </w:numPr>
        <w:pStyle w:val="Compact"/>
      </w:pPr>
      <w:r>
        <w:t xml:space="preserve">What about GentleWave?</w:t>
      </w:r>
    </w:p>
    <w:p>
      <w:pPr>
        <w:pStyle w:val="FirstParagraph"/>
      </w:pPr>
      <w:r>
        <w:t xml:space="preserve">GentleWave (multisonic irrigation) appears to be as effective as traditional protocols and may be superior for cleaning isthmuses (Molina et al.). Post-operative pain (Grigsby) and one-year healing outcomes (Sigurdsson) are comparable to conventional irrigation.</w:t>
      </w:r>
    </w:p>
    <w:bookmarkEnd w:id="58"/>
    <w:bookmarkStart w:id="59" w:name="X97737a106f4a0d6f9d1fb270e744179fb668f81"/>
    <w:p>
      <w:pPr>
        <w:pStyle w:val="Heading2"/>
      </w:pPr>
      <w:r>
        <w:t xml:space="preserve">6.4 Intracanal Medicament Use and Selection</w:t>
      </w:r>
    </w:p>
    <w:p>
      <w:pPr>
        <w:numPr>
          <w:ilvl w:val="0"/>
          <w:numId w:val="1137"/>
        </w:numPr>
        <w:pStyle w:val="Compact"/>
      </w:pPr>
      <w:r>
        <w:t xml:space="preserve">What is the evidence for calcium hydroxide as an inter-appointment medicament?</w:t>
      </w:r>
    </w:p>
    <w:p>
      <w:pPr>
        <w:pStyle w:val="FirstParagraph"/>
      </w:pPr>
      <w:r>
        <w:t xml:space="preserve">CaOH's alkalinity (pH 11-12) provides its antimicrobial properties. It also halts resorption due to its high pH.</w:t>
      </w:r>
    </w:p>
    <w:p>
      <w:pPr>
        <w:numPr>
          <w:ilvl w:val="0"/>
          <w:numId w:val="1138"/>
        </w:numPr>
        <w:pStyle w:val="Compact"/>
      </w:pPr>
      <w:r>
        <w:t xml:space="preserve">What is the optimal duration of calcium hydroxide placement?</w:t>
      </w:r>
    </w:p>
    <w:p>
      <w:pPr>
        <w:pStyle w:val="FirstParagraph"/>
      </w:pPr>
      <w:r>
        <w:t xml:space="preserve">Sjögren (1991) found that 7 days was needed to sufficiently eliminate intracanal bacteria. Kahler found in vitro with lamb teeth no increase in fracture susceptibility with up to 9 months of CaOH placement.</w:t>
      </w:r>
    </w:p>
    <w:p>
      <w:pPr>
        <w:numPr>
          <w:ilvl w:val="0"/>
          <w:numId w:val="1139"/>
        </w:numPr>
        <w:pStyle w:val="Compact"/>
      </w:pPr>
      <w:r>
        <w:t xml:space="preserve">Does it help to use EDTA prior to CaOH placement?</w:t>
      </w:r>
    </w:p>
    <w:p>
      <w:pPr>
        <w:pStyle w:val="FirstParagraph"/>
      </w:pPr>
      <w:r>
        <w:t xml:space="preserve">Yes — using EDTA before placing calcium hydroxide improves diffusion of hydroxyl ions through dentinal tubules by removing the smear layer (Sayegh).</w:t>
      </w:r>
    </w:p>
    <w:p>
      <w:pPr>
        <w:numPr>
          <w:ilvl w:val="0"/>
          <w:numId w:val="1140"/>
        </w:numPr>
        <w:pStyle w:val="Compact"/>
      </w:pPr>
      <w:r>
        <w:t xml:space="preserve">Are there indications for other medicaments (antibiotics, steroid combinations)?</w:t>
      </w:r>
    </w:p>
    <w:p>
      <w:pPr>
        <w:pStyle w:val="FirstParagraph"/>
      </w:pPr>
      <w:r>
        <w:t xml:space="preserve">Double antibiotic paste (DAP) and triple antibiotic paste (TAP) are used at low concentrations in regenerative endodontic procedures. Ledermix (a steroid/antibiotic combination) reduces post-operative pain, but it may treat symptoms rather than the underlying etiology, and no outcome studies have demonstrated superiority over calcium hydroxide.</w:t>
      </w:r>
    </w:p>
    <w:p>
      <w:pPr>
        <w:numPr>
          <w:ilvl w:val="0"/>
          <w:numId w:val="1141"/>
        </w:numPr>
        <w:pStyle w:val="Compact"/>
      </w:pPr>
      <w:r>
        <w:t xml:space="preserve">How effective is complete medicament removal before obturation?</w:t>
      </w:r>
    </w:p>
    <w:p>
      <w:pPr>
        <w:pStyle w:val="FirstParagraph"/>
      </w:pPr>
      <w:r>
        <w:t xml:space="preserve">Irrigation alone leaves significant residue. For CaOH removal, rotary instrumentation is most effective, followed by PUI, with hand filing using an H-file being least effective {{cite: Kenee 2006}}.</w:t>
      </w:r>
    </w:p>
    <w:bookmarkEnd w:id="59"/>
    <w:bookmarkStart w:id="60" w:name="Xd408d37aa296bde4bd656c3b800b4f7b3a5ed59"/>
    <w:p>
      <w:pPr>
        <w:pStyle w:val="Heading2"/>
      </w:pPr>
      <w:r>
        <w:t xml:space="preserve">6.5 Smear Layer Removal Protocol</w:t>
      </w:r>
    </w:p>
    <w:p>
      <w:pPr>
        <w:numPr>
          <w:ilvl w:val="0"/>
          <w:numId w:val="1142"/>
        </w:numPr>
        <w:pStyle w:val="Compact"/>
      </w:pPr>
      <w:r>
        <w:t xml:space="preserve">What is the evidence for smear layer removal vs. retention?</w:t>
      </w:r>
    </w:p>
    <w:p>
      <w:pPr>
        <w:pStyle w:val="FirstParagraph"/>
      </w:pPr>
      <w:r>
        <w:t xml:space="preserve">Arguments for removal: the smear layer harbors bacteria, reduces sealer penetration into dentinal tubules, and can dissolve over time, leaving pathways for microleakage {{cite: Violich and Chandler 2010}}. The counter-argument: systematic reviews have not shown a difference in clinical outcomes with or without smear layer removal {{cite: Torabinejad 2009}}, and some authors argue that retaining the smear layer actually reduces dentinal permeability and therefore bacterial ingress (Pashley).</w:t>
      </w:r>
    </w:p>
    <w:p>
      <w:pPr>
        <w:numPr>
          <w:ilvl w:val="0"/>
          <w:numId w:val="1143"/>
        </w:numPr>
        <w:pStyle w:val="Compact"/>
      </w:pPr>
      <w:r>
        <w:t xml:space="preserve">What is the optimal EDTA concentration and contact time?</w:t>
      </w:r>
    </w:p>
    <w:p>
      <w:pPr>
        <w:pStyle w:val="FirstParagraph"/>
      </w:pPr>
      <w:r>
        <w:t xml:space="preserve">The optimal contact time is 1 minute for complete smear layer removal; 10 minutes causes excessive erosion (Calt and Serper).</w:t>
      </w:r>
    </w:p>
    <w:p>
      <w:pPr>
        <w:numPr>
          <w:ilvl w:val="0"/>
          <w:numId w:val="1144"/>
        </w:numPr>
        <w:pStyle w:val="Compact"/>
      </w:pPr>
      <w:r>
        <w:t xml:space="preserve">What is the recommended final irrigation sequence?</w:t>
      </w:r>
    </w:p>
    <w:p>
      <w:pPr>
        <w:pStyle w:val="FirstParagraph"/>
      </w:pPr>
      <w:r>
        <w:t xml:space="preserve">EDTA followed by NaOCl (Goldman).</w:t>
      </w:r>
    </w:p>
    <w:bookmarkEnd w:id="60"/>
    <w:bookmarkEnd w:id="61"/>
    <w:bookmarkStart w:id="67" w:name="X54dc423e1e3742103002b5ea1900ceeb06d1cec"/>
    <w:p>
      <w:pPr>
        <w:pStyle w:val="Heading1"/>
      </w:pPr>
      <w:r>
        <w:t xml:space="preserve">7. Obturation</w:t>
      </w:r>
    </w:p>
    <w:bookmarkStart w:id="62" w:name="X04d3134056b64d800c79c89c916a52e749d0848"/>
    <w:p>
      <w:pPr>
        <w:pStyle w:val="Heading2"/>
      </w:pPr>
      <w:r>
        <w:t xml:space="preserve">7.1 Obturation Technique Selection</w:t>
      </w:r>
    </w:p>
    <w:p>
      <w:pPr>
        <w:numPr>
          <w:ilvl w:val="0"/>
          <w:numId w:val="1145"/>
        </w:numPr>
        <w:pStyle w:val="Compact"/>
      </w:pPr>
      <w:r>
        <w:t xml:space="preserve">What is the evidence comparing cold lateral condensation vs. warm vertical?</w:t>
      </w:r>
    </w:p>
    <w:p>
      <w:pPr>
        <w:pStyle w:val="FirstParagraph"/>
      </w:pPr>
      <w:r>
        <w:t xml:space="preserve">Warm vertical compaction obturates lateral canals more reliably than cold lateral condensation (Peng: 28% vs 9%) and adapts better to oval canals (Gillhooly, Wu). However, warm vertical does produce more apical extrusion of sealer (De-Deus). System B carrier heat carriers are safe for surrounding tissues: less than a 10°C temperature rise at the external root surface even at a 200°C setting {{cite: Sweatman and Baumgartner 2001}}.</w:t>
      </w:r>
    </w:p>
    <w:p>
      <w:pPr>
        <w:numPr>
          <w:ilvl w:val="0"/>
          <w:numId w:val="1146"/>
        </w:numPr>
        <w:pStyle w:val="Compact"/>
      </w:pPr>
      <w:r>
        <w:t xml:space="preserve">When is continuous wave technique preferred?</w:t>
      </w:r>
    </w:p>
    <w:p>
      <w:pPr>
        <w:pStyle w:val="FirstParagraph"/>
      </w:pPr>
      <w:r>
        <w:t xml:space="preserve">Continuous wave is preferred when hydraulic obturation benefits are greatest:</w:t>
      </w:r>
    </w:p>
    <w:p>
      <w:pPr>
        <w:numPr>
          <w:ilvl w:val="0"/>
          <w:numId w:val="1147"/>
        </w:numPr>
        <w:pStyle w:val="Compact"/>
      </w:pPr>
      <w:r>
        <w:t xml:space="preserve">Oval or C-shaped canals {{cite: Fan 2004}}</w:t>
      </w:r>
    </w:p>
    <w:p>
      <w:pPr>
        <w:numPr>
          <w:ilvl w:val="0"/>
          <w:numId w:val="1147"/>
        </w:numPr>
        <w:pStyle w:val="Compact"/>
      </w:pPr>
      <w:r>
        <w:t xml:space="preserve">Curved canals {{cite: Gillhooly 2000}}</w:t>
      </w:r>
    </w:p>
    <w:p>
      <w:pPr>
        <w:numPr>
          <w:ilvl w:val="0"/>
          <w:numId w:val="1147"/>
        </w:numPr>
        <w:pStyle w:val="Compact"/>
      </w:pPr>
      <w:r>
        <w:t xml:space="preserve">Canals with multiple portals of exit, where vertical compaction pressure improves filling of lateral canals (Peng: 28% vs 9% for cold lateral)</w:t>
      </w:r>
    </w:p>
    <w:p>
      <w:pPr>
        <w:numPr>
          <w:ilvl w:val="0"/>
          <w:numId w:val="1147"/>
        </w:numPr>
        <w:pStyle w:val="Compact"/>
      </w:pPr>
      <w:r>
        <w:t xml:space="preserve">Isthmuses and fins</w:t>
      </w:r>
    </w:p>
    <w:p>
      <w:pPr>
        <w:numPr>
          <w:ilvl w:val="0"/>
          <w:numId w:val="1147"/>
        </w:numPr>
        <w:pStyle w:val="Compact"/>
      </w:pPr>
      <w:r>
        <w:t xml:space="preserve">Resorptive defects with mid-canal ballooning</w:t>
      </w:r>
    </w:p>
    <w:p>
      <w:pPr>
        <w:numPr>
          <w:ilvl w:val="0"/>
          <w:numId w:val="1147"/>
        </w:numPr>
        <w:pStyle w:val="Compact"/>
      </w:pPr>
      <w:r>
        <w:t xml:space="preserve">Retreatment cases with irregular residual anatomy</w:t>
      </w:r>
    </w:p>
    <w:p>
      <w:pPr>
        <w:pStyle w:val="FirstParagraph"/>
      </w:pPr>
      <w:r>
        <w:t xml:space="preserve">C-shaped canals are classified by Melton into:</w:t>
      </w:r>
    </w:p>
    <w:p>
      <w:pPr>
        <w:numPr>
          <w:ilvl w:val="0"/>
          <w:numId w:val="1148"/>
        </w:numPr>
      </w:pPr>
      <w:r>
        <w:rPr>
          <w:bCs/>
          <w:b/>
        </w:rPr>
        <w:t xml:space="preserve">Type I:</w:t>
      </w:r>
      <w:r>
        <w:t xml:space="preserve"> </w:t>
      </w:r>
      <w:r>
        <w:t xml:space="preserve">continuous C-shape</w:t>
      </w:r>
    </w:p>
    <w:p>
      <w:pPr>
        <w:numPr>
          <w:ilvl w:val="0"/>
          <w:numId w:val="1148"/>
        </w:numPr>
      </w:pPr>
      <w:r>
        <w:rPr>
          <w:bCs/>
          <w:b/>
        </w:rPr>
        <w:t xml:space="preserve">Type II:</w:t>
      </w:r>
      <w:r>
        <w:t xml:space="preserve"> </w:t>
      </w:r>
      <w:r>
        <w:t xml:space="preserve">semicolon-shaped with separation between mesial and distal components</w:t>
      </w:r>
    </w:p>
    <w:p>
      <w:pPr>
        <w:numPr>
          <w:ilvl w:val="0"/>
          <w:numId w:val="1148"/>
        </w:numPr>
      </w:pPr>
      <w:r>
        <w:rPr>
          <w:bCs/>
          <w:b/>
        </w:rPr>
        <w:t xml:space="preserve">Type III:</w:t>
      </w:r>
      <w:r>
        <w:t xml:space="preserve"> </w:t>
      </w:r>
      <w:r>
        <w:t xml:space="preserve">two or more discrete separated canals</w:t>
      </w:r>
    </w:p>
    <w:p>
      <w:pPr>
        <w:numPr>
          <w:ilvl w:val="0"/>
          <w:numId w:val="1148"/>
        </w:numPr>
      </w:pPr>
      <w:r>
        <w:t xml:space="preserve">What are the indications for single cone obturation?</w:t>
      </w:r>
    </w:p>
    <w:p>
      <w:pPr>
        <w:pStyle w:val="FirstParagraph"/>
      </w:pPr>
      <w:r>
        <w:t xml:space="preserve">Single cone obturation is appropriate for canals with favorable (round) anatomy and well-shaped preparations when paired with a bioceramic sealer {{cite: Boutsioukis 2021}}.</w:t>
      </w:r>
    </w:p>
    <w:p>
      <w:pPr>
        <w:numPr>
          <w:ilvl w:val="0"/>
          <w:numId w:val="1149"/>
        </w:numPr>
        <w:pStyle w:val="Compact"/>
      </w:pPr>
      <w:r>
        <w:t xml:space="preserve">How does obturation technique affect treatment outcomes?</w:t>
      </w:r>
    </w:p>
    <w:p>
      <w:pPr>
        <w:pStyle w:val="FirstParagraph"/>
      </w:pPr>
      <w:r>
        <w:t xml:space="preserve">Systematic reviews show no significant difference in periapical healing outcomes between obturation techniques (Ng 2008, 2011). The quality of cleaning, shaping, and coronal seal matters more than the specific obturation method. Note: the claim that coronal seal outweighs obturation quality originates from Ray and Trope (1995); see §8.1 and §8.4 for the Gillen (2011) meta-analysis, which found that both factors independently and comparably affect periapical healing — neither should be sacrificed at the expense of the other.</w:t>
      </w:r>
    </w:p>
    <w:p>
      <w:pPr>
        <w:numPr>
          <w:ilvl w:val="0"/>
          <w:numId w:val="1150"/>
        </w:numPr>
        <w:pStyle w:val="Compact"/>
      </w:pPr>
      <w:r>
        <w:t xml:space="preserve">What does the most recent meta-analysis show about obturation success over time?</w:t>
      </w:r>
    </w:p>
    <w:p>
      <w:pPr>
        <w:pStyle w:val="FirstParagraph"/>
      </w:pPr>
      <w:r>
        <w:t xml:space="preserve">A 2026 meta-analysis of 84 studies by Mushtaq et al. confirmed that obturation success is highest at intermediate follow-up and converges across techniques over time. Pooled success was approximately</w:t>
      </w:r>
      <w:r>
        <w:t xml:space="preserve"> </w:t>
      </w:r>
      <w:r>
        <w:rPr>
          <w:bCs/>
          <w:b/>
        </w:rPr>
        <w:t xml:space="preserve">87% at 6–12 months</w:t>
      </w:r>
      <w:r>
        <w:t xml:space="preserve">, peaked at</w:t>
      </w:r>
      <w:r>
        <w:t xml:space="preserve"> </w:t>
      </w:r>
      <w:r>
        <w:rPr>
          <w:bCs/>
          <w:b/>
        </w:rPr>
        <w:t xml:space="preserve">92% at 24 months</w:t>
      </w:r>
      <w:r>
        <w:t xml:space="preserve">, and declined to</w:t>
      </w:r>
      <w:r>
        <w:t xml:space="preserve"> </w:t>
      </w:r>
      <w:r>
        <w:rPr>
          <w:bCs/>
          <w:b/>
        </w:rPr>
        <w:t xml:space="preserve">~85% beyond 3 years</w:t>
      </w:r>
      <w:r>
        <w:t xml:space="preserve"> </w:t>
      </w:r>
      <w:r>
        <w:t xml:space="preserve">for all techniques studied — cold lateral condensation (CLC), carrier-based (CB), and single-cone (SC).</w:t>
      </w:r>
      <w:r>
        <w:t xml:space="preserve"> </w:t>
      </w:r>
      <w:r>
        <w:rPr>
          <w:bCs/>
          <w:b/>
        </w:rPr>
        <w:t xml:space="preserve">No technique demonstrated sustained superiority beyond 3 years.</w:t>
      </w:r>
      <w:r>
        <w:t xml:space="preserve"> </w:t>
      </w:r>
      <w:r>
        <w:t xml:space="preserve">Notably,</w:t>
      </w:r>
      <w:r>
        <w:t xml:space="preserve"> </w:t>
      </w:r>
      <w:r>
        <w:rPr>
          <w:bCs/>
          <w:b/>
        </w:rPr>
        <w:t xml:space="preserve">single-cone with bioceramic sealer did not show clear clinical outcome advantages over other materials at extended follow-up</w:t>
      </w:r>
      <w:r>
        <w:t xml:space="preserve">, despite its laboratory and adaptation advantages {{cite: Mushtaq 2026 — meta-analysis of 84 studies; obturation success ~87% at 6–12 mo, 92% at 24 mo, ~85% beyond 3 yr; no technique (CLC, CB, SC) showed sustained superiority; bioceramic + single-cone did not outperform other materials at extended follow-up; PMID 41872366}}. The clinical implication reinforces Ng's earlier conclusion: obturation technique and sealer chemistry are second-order variables compared to disinfection and coronal seal, and the marketing case for premium single-cone bioceramic systems is not supported by long-term clinical outcomes.</w:t>
      </w:r>
    </w:p>
    <w:bookmarkEnd w:id="62"/>
    <w:bookmarkStart w:id="63" w:name="X74683777615bd11a27c64987fa1a3dbcc792bc3"/>
    <w:p>
      <w:pPr>
        <w:pStyle w:val="Heading2"/>
      </w:pPr>
      <w:r>
        <w:t xml:space="preserve">7.2 Sealer Selection</w:t>
      </w:r>
    </w:p>
    <w:p>
      <w:pPr>
        <w:numPr>
          <w:ilvl w:val="0"/>
          <w:numId w:val="1151"/>
        </w:numPr>
        <w:pStyle w:val="Compact"/>
      </w:pPr>
      <w:r>
        <w:t xml:space="preserve">What are the properties of an ideal root canal sealer?</w:t>
      </w:r>
    </w:p>
    <w:p>
      <w:pPr>
        <w:pStyle w:val="FirstParagraph"/>
      </w:pPr>
      <w:r>
        <w:t xml:space="preserve">An ideal sealer is biocompatible, dimensionally stable (minimal shrinkage on setting), adherent to canal walls and gutta-percha, bacteriostatic, radiopaque, insoluble in tissue fluids, easily removed if retreatment is needed, and does not stain tooth structure {{cite: Grossman 1976}}.</w:t>
      </w:r>
    </w:p>
    <w:p>
      <w:pPr>
        <w:numPr>
          <w:ilvl w:val="0"/>
          <w:numId w:val="1152"/>
        </w:numPr>
        <w:pStyle w:val="Compact"/>
      </w:pPr>
      <w:r>
        <w:t xml:space="preserve">How do bioceramic sealers compare to resin-based and zinc oxide eugenol sealers?</w:t>
      </w:r>
    </w:p>
    <w:p>
      <w:pPr>
        <w:pStyle w:val="FirstParagraph"/>
      </w:pPr>
      <w:r>
        <w:t xml:space="preserve">Bioceramic sealers (e.g., Totalfill BC Sealer, BioC Sealer) are calcium silicate-based, bond chemically to dentin via hydroxyapatite formation, are highly biocompatible, and expand slightly on setting (~0.2%), which may aid marginal adaptation. AH Plus (epoxy-resin based) has the longest track record of clinical evidence, superior flowability, and strong bond to dentin. ZOE sealers (e.g., Pulp Canal Sealer) are well-tolerated but eugenol can be cytotoxic and may interfere with resin bonding if a post or retreatment is required. No sealer type has demonstrated statistically significant superiority in periapical healing outcomes in systematic reviews {{cite: Peng 2007}}.</w:t>
      </w:r>
    </w:p>
    <w:p>
      <w:pPr>
        <w:numPr>
          <w:ilvl w:val="0"/>
          <w:numId w:val="1153"/>
        </w:numPr>
        <w:pStyle w:val="Compact"/>
      </w:pPr>
      <w:r>
        <w:t xml:space="preserve">What is the evidence for sealer penetration into dentinal tubules?</w:t>
      </w:r>
    </w:p>
    <w:p>
      <w:pPr>
        <w:pStyle w:val="FirstParagraph"/>
      </w:pPr>
      <w:r>
        <w:t xml:space="preserve">Bioceramic and resin sealers penetrate dentinal tubules more consistently than ZOE sealers. Ultrasonic activation of irrigants prior to sealer placement improves tubular penetration. The clinical significance of tubular penetration on outcomes remains unclear, as bacteria may exist beyond the typical penetration depth {{cite: Haapasalo 2010}}.</w:t>
      </w:r>
    </w:p>
    <w:p>
      <w:pPr>
        <w:numPr>
          <w:ilvl w:val="0"/>
          <w:numId w:val="1154"/>
        </w:numPr>
        <w:pStyle w:val="Compact"/>
      </w:pPr>
      <w:r>
        <w:t xml:space="preserve">Does sealer type affect treatment outcomes?</w:t>
      </w:r>
    </w:p>
    <w:p>
      <w:pPr>
        <w:pStyle w:val="FirstParagraph"/>
      </w:pPr>
      <w:r>
        <w:t xml:space="preserve">No clear difference in clinical outcomes has been demonstrated between sealer types in systematic reviews. The quality of the final coronal seal and adherence to shaping and cleaning protocols appear to have greater influence on outcomes than sealer chemistry {{cite: Peng 2007}}. The 2026 Mushtaq meta-analysis (84 studies) extends this finding: bioceramic sealers paired with single-cone obturation did not demonstrate clear clinical outcome advantages over other materials at extended (≥3 year) follow-up — see §7.1.</w:t>
      </w:r>
    </w:p>
    <w:bookmarkEnd w:id="63"/>
    <w:bookmarkStart w:id="64" w:name="Xfae05f057ef68cc41593be22c6a9852178a5ed6"/>
    <w:p>
      <w:pPr>
        <w:pStyle w:val="Heading2"/>
      </w:pPr>
      <w:r>
        <w:t xml:space="preserve">7.3 Apical Barrier Material Selection</w:t>
      </w:r>
    </w:p>
    <w:p>
      <w:pPr>
        <w:numPr>
          <w:ilvl w:val="0"/>
          <w:numId w:val="1155"/>
        </w:numPr>
        <w:pStyle w:val="Compact"/>
      </w:pPr>
      <w:r>
        <w:t xml:space="preserve">What are the indications for apical plug placement?</w:t>
      </w:r>
    </w:p>
    <w:p>
      <w:pPr>
        <w:pStyle w:val="FirstParagraph"/>
      </w:pPr>
      <w:r>
        <w:t xml:space="preserve">Apical plug placement is indicated when a normal apical constriction is absent: open apex due to incomplete root development (immature teeth), iatrogenic over-instrumentation, or resorptive loss of the apical stop. It provides a physical barrier to prevent extrusion of obturation material and allows condensation against a solid endpoint.</w:t>
      </w:r>
    </w:p>
    <w:p>
      <w:pPr>
        <w:numPr>
          <w:ilvl w:val="0"/>
          <w:numId w:val="1156"/>
        </w:numPr>
        <w:pStyle w:val="Compact"/>
      </w:pPr>
      <w:r>
        <w:t xml:space="preserve">What is MTA?</w:t>
      </w:r>
    </w:p>
    <w:p>
      <w:pPr>
        <w:pStyle w:val="FirstParagraph"/>
      </w:pPr>
      <w:r>
        <w:t xml:space="preserve">MTA (Mineral Trioxide Aggregate) is composed of tricalcium silicate, dicalcium silicate, tricalcium aluminate, and bismuth oxide (for radiopacity). It sets in the presence of moisture by forming calcium hydroxide, then calcium silicate hydrate. It has excellent biocompatibility, superior sealing ability, and supports cementum regeneration over its surface.</w:t>
      </w:r>
    </w:p>
    <w:p>
      <w:pPr>
        <w:numPr>
          <w:ilvl w:val="0"/>
          <w:numId w:val="1157"/>
        </w:numPr>
        <w:pStyle w:val="Compact"/>
      </w:pPr>
      <w:r>
        <w:t xml:space="preserve">How does MTA compare to Biodentine and other bioceramics for apical barriers?</w:t>
      </w:r>
    </w:p>
    <w:p>
      <w:pPr>
        <w:pStyle w:val="FirstParagraph"/>
      </w:pPr>
      <w:r>
        <w:t xml:space="preserve">Biodentine has similar biocompatibility and bioactivity to MTA but sets faster (12 minutes vs. 2-4 hours for ProRoot MTA) and has superior compressive strength. Both MTA and Biodentine have demonstrated comparable periapical healing rates. Other tricalcium silicate materials (e.g., Endosequence Root Repair Material, BioAggregate) have similar properties. MTA remains the gold standard with the most long-term clinical data {{cite: Parirokh and Torabinejad 2010}}.</w:t>
      </w:r>
    </w:p>
    <w:p>
      <w:pPr>
        <w:numPr>
          <w:ilvl w:val="0"/>
          <w:numId w:val="1158"/>
        </w:numPr>
        <w:pStyle w:val="Compact"/>
      </w:pPr>
      <w:r>
        <w:t xml:space="preserve">What is the optimal apical plug thickness?</w:t>
      </w:r>
    </w:p>
    <w:p>
      <w:pPr>
        <w:pStyle w:val="FirstParagraph"/>
      </w:pPr>
      <w:r>
        <w:t xml:space="preserve">A minimum of 4 mm of MTA apical plug thickness is recommended to provide an adequate seal and resist displacement during condensation. Plugs less than 3 mm are associated with higher leakage rates. Some authors recommend 4-5 mm as the target thickness {{cite: Lawley 2004}}.</w:t>
      </w:r>
    </w:p>
    <w:bookmarkEnd w:id="64"/>
    <w:bookmarkStart w:id="65" w:name="X345f9ab380a2ed97ec2e94d65165b92dab82e6a"/>
    <w:p>
      <w:pPr>
        <w:pStyle w:val="Heading2"/>
      </w:pPr>
      <w:r>
        <w:t xml:space="preserve">7.4 Open Apex Management: Apexification vs. Revascularization</w:t>
      </w:r>
    </w:p>
    <w:p>
      <w:pPr>
        <w:numPr>
          <w:ilvl w:val="0"/>
          <w:numId w:val="1159"/>
        </w:numPr>
        <w:pStyle w:val="Compact"/>
      </w:pPr>
      <w:r>
        <w:t xml:space="preserve">What are the indications for apexification vs. regenerative endodontics?</w:t>
      </w:r>
    </w:p>
    <w:p>
      <w:pPr>
        <w:pStyle w:val="FirstParagraph"/>
      </w:pPr>
      <w:r>
        <w:t xml:space="preserve">Apexification (MTA plug or CaOH) is preferred when the patient is older with near-complete root development, the canal is heavily infected, or the patient cannot commit to the extended timeline of regenerative therapy. Regenerative endodontic procedures (REPs) are preferred in immature necrotic teeth in patients under ~18 years where continued root development (thickening of walls, apical closure, increased root length) is possible. REPs are especially favored when dentinal walls are very thin, as apexification would leave a fragile root prone to cervical fracture.</w:t>
      </w:r>
    </w:p>
    <w:p>
      <w:pPr>
        <w:numPr>
          <w:ilvl w:val="0"/>
          <w:numId w:val="1160"/>
        </w:numPr>
        <w:pStyle w:val="Compact"/>
      </w:pPr>
      <w:r>
        <w:t xml:space="preserve">What is the success rate of MTA apexification?</w:t>
      </w:r>
    </w:p>
    <w:p>
      <w:pPr>
        <w:pStyle w:val="FirstParagraph"/>
      </w:pPr>
      <w:r>
        <w:t xml:space="preserve">93.5% success rate (Witherspoon et al., 2008). This is notable since apexification with CaOH leads to 28-77% cervical root fracture incidence (Cvek).</w:t>
      </w:r>
    </w:p>
    <w:p>
      <w:pPr>
        <w:numPr>
          <w:ilvl w:val="0"/>
          <w:numId w:val="1161"/>
        </w:numPr>
        <w:pStyle w:val="Compact"/>
      </w:pPr>
      <w:r>
        <w:t xml:space="preserve">What is the evidence for continued root development with revascularization?</w:t>
      </w:r>
    </w:p>
    <w:p>
      <w:pPr>
        <w:pStyle w:val="FirstParagraph"/>
      </w:pPr>
      <w:r>
        <w:t xml:space="preserve">Multiple case series and systematic reviews confirm that REPs can achieve continued root lengthening, apical closure, and thickening of canal walls. Kontakiotis et al. (2015) found that REPs led to increased root length in 76% and increased wall thickness in 66% of cases, with periapical healing in 91%. The new tissue is not histologically confirmed pulp in most cases; it is predominantly cementum-like, bone-like, and PDL-like tissue {{cite: Kontakiotis 2015}}.</w:t>
      </w:r>
    </w:p>
    <w:p>
      <w:pPr>
        <w:numPr>
          <w:ilvl w:val="0"/>
          <w:numId w:val="1162"/>
        </w:numPr>
        <w:pStyle w:val="Compact"/>
      </w:pPr>
      <w:r>
        <w:t xml:space="preserve">How do you select between these approaches?</w:t>
      </w:r>
    </w:p>
    <w:p>
      <w:pPr>
        <w:pStyle w:val="FirstParagraph"/>
      </w:pPr>
      <w:r>
        <w:t xml:space="preserve">Key decision factors include patient age and remaining root development potential, severity of infection, canal wall thickness (assess with CBCT), patient compliance for multiple visits (REPs require 2-3 visits), and patient/guardian preference. If walls are very thin, REPs may be preferred to allow continued thickening; alternatively, fiber post-reinforcement combined with MTA apexification is an option for thin-walled teeth when REPs are not feasible.</w:t>
      </w:r>
    </w:p>
    <w:bookmarkEnd w:id="65"/>
    <w:bookmarkStart w:id="66" w:name="X537f403137c032f8e59cc604e5602af71d804e9"/>
    <w:p>
      <w:pPr>
        <w:pStyle w:val="Heading2"/>
      </w:pPr>
      <w:r>
        <w:t xml:space="preserve">7.5 Criteria for Adequate Fill</w:t>
      </w:r>
    </w:p>
    <w:p>
      <w:pPr>
        <w:numPr>
          <w:ilvl w:val="0"/>
          <w:numId w:val="1163"/>
        </w:numPr>
        <w:pStyle w:val="Compact"/>
      </w:pPr>
      <w:r>
        <w:t xml:space="preserve">What are the radiographic criteria for an adequate obturation?</w:t>
      </w:r>
    </w:p>
    <w:p>
      <w:pPr>
        <w:pStyle w:val="FirstParagraph"/>
      </w:pPr>
      <w:r>
        <w:t xml:space="preserve">An adequate obturation should: (1) terminate within 0-2 mm of the radiographic apex (ideally at the CDJ/minor constriction), (2) demonstrate a dense, homogeneous fill without voids, (3) follow the original canal path without signs of ledging or transportation, (4) demonstrate sealer visible at the canal walls, and (5) show no significant extrusion of material beyond the apex.</w:t>
      </w:r>
    </w:p>
    <w:p>
      <w:pPr>
        <w:numPr>
          <w:ilvl w:val="0"/>
          <w:numId w:val="1164"/>
        </w:numPr>
        <w:pStyle w:val="Compact"/>
      </w:pPr>
      <w:r>
        <w:t xml:space="preserve">How does fill length (short, flush, overfill) affect outcomes?</w:t>
      </w:r>
    </w:p>
    <w:p>
      <w:pPr>
        <w:pStyle w:val="FirstParagraph"/>
      </w:pPr>
      <w:r>
        <w:t xml:space="preserve">Fills terminating 0-2 mm short of the radiographic apex have the best outcomes. Overfills are associated with poorer outcomes, particularly in vital pulp cases, because extruded material provokes a foreign body reaction that impairs healing. Short fills (&gt;2 mm short) are also associated with reduced success due to residual bacteria in the unfilled apical space. Ng's meta-analysis (2011) confirmed that obturation within 2 mm of the apex had significantly higher success rates than short or long fills {{cite: Ng 2011}}.</w:t>
      </w:r>
    </w:p>
    <w:p>
      <w:pPr>
        <w:numPr>
          <w:ilvl w:val="0"/>
          <w:numId w:val="1165"/>
        </w:numPr>
        <w:pStyle w:val="Compact"/>
      </w:pPr>
      <w:r>
        <w:t xml:space="preserve">What is the acceptable distance from the radiographic apex?</w:t>
      </w:r>
    </w:p>
    <w:p>
      <w:pPr>
        <w:pStyle w:val="FirstParagraph"/>
      </w:pPr>
      <w:r>
        <w:t xml:space="preserve">The optimal fill endpoint is 0-2 mm from the radiographic apex, corresponding to the CDJ, which is typically 0.5-1 mm from the radiographic apex. Overfill beyond the apex is associated with reduced healing, pain, and possible inferior alveolar nerve injury in the mandibular posterior region {{cite: Ng 2008}}.</w:t>
      </w:r>
    </w:p>
    <w:p>
      <w:pPr>
        <w:numPr>
          <w:ilvl w:val="0"/>
          <w:numId w:val="1166"/>
        </w:numPr>
        <w:pStyle w:val="Compact"/>
      </w:pPr>
      <w:r>
        <w:t xml:space="preserve">What is the composition of gutta-percha?</w:t>
      </w:r>
    </w:p>
    <w:p>
      <w:pPr>
        <w:pStyle w:val="FirstParagraph"/>
      </w:pPr>
      <w:r>
        <w:t xml:space="preserve">Gutta-percha is 65% zinc oxide, 20% gutta-percha, 15% waxes, resins, and metals (Goodman).</w:t>
      </w:r>
    </w:p>
    <w:bookmarkEnd w:id="66"/>
    <w:bookmarkEnd w:id="67"/>
    <w:bookmarkStart w:id="73" w:name="X51181d74c7767531ce3f587d4fa816fe0c7abad"/>
    <w:p>
      <w:pPr>
        <w:pStyle w:val="Heading1"/>
      </w:pPr>
      <w:r>
        <w:t xml:space="preserve">8. Restoration</w:t>
      </w:r>
    </w:p>
    <w:bookmarkStart w:id="68" w:name="Xe9dba45dacbb560d59992e5a0edc9391b3c155a"/>
    <w:p>
      <w:pPr>
        <w:pStyle w:val="Heading2"/>
      </w:pPr>
      <w:r>
        <w:t xml:space="preserve">8.1 Immediate vs. Delayed Coronal Restoration</w:t>
      </w:r>
    </w:p>
    <w:p>
      <w:pPr>
        <w:numPr>
          <w:ilvl w:val="0"/>
          <w:numId w:val="1167"/>
        </w:numPr>
        <w:pStyle w:val="Compact"/>
      </w:pPr>
      <w:r>
        <w:t xml:space="preserve">What is the evidence regarding timing of coronal restoration?</w:t>
      </w:r>
    </w:p>
    <w:p>
      <w:pPr>
        <w:pStyle w:val="FirstParagraph"/>
      </w:pPr>
      <w:r>
        <w:t xml:space="preserve">Coronal leakage begins within days to weeks after obturation if a proper coronal seal is not placed. Studies have shown that 90 days of exposure to oral fluids can result in coronal leakage in the majority of obturated canals (Saunders and Saunders 1994). The Swanson and Madison (annotated in the procedural timeline) finding — that dye penetrated 79–85% of root length within just 3 days of coronal exposure — has a clear clinical implication: even a brief gap between obturation and definitive restoration is sufficient to risk substantial canal contamination. This underscores the importance of same-day orifice barrier placement and early permanent restoration. Same-visit core placement is associated with improved outcomes in multiple retrospective studies.</w:t>
      </w:r>
    </w:p>
    <w:p>
      <w:pPr>
        <w:numPr>
          <w:ilvl w:val="0"/>
          <w:numId w:val="1168"/>
        </w:numPr>
        <w:pStyle w:val="Compact"/>
      </w:pPr>
      <w:r>
        <w:t xml:space="preserve">How does delayed restoration affect tooth survival?</w:t>
      </w:r>
    </w:p>
    <w:p>
      <w:pPr>
        <w:pStyle w:val="FirstParagraph"/>
      </w:pPr>
      <w:r>
        <w:t xml:space="preserve">Delayed restoration significantly reduces tooth survival and endodontic success. ==A systematic review and meta-analysis by Gillen et al. (2011) found that both the quality of coronal restoration and the quality of root canal treatment had a comparable and significant impact on periapical healing outcomes; neither factor was found to be significantly greater than the other. Inadequate coronal restoration, even with adequate root canal treatment, was associated with substantially reduced healing rates== {{cite: Gillen 2011}}.</w:t>
      </w:r>
    </w:p>
    <w:p>
      <w:pPr>
        <w:numPr>
          <w:ilvl w:val="0"/>
          <w:numId w:val="1169"/>
        </w:numPr>
        <w:pStyle w:val="Compact"/>
      </w:pPr>
      <w:r>
        <w:t xml:space="preserve">What is the maximum acceptable delay before permanent restoration?</w:t>
      </w:r>
    </w:p>
    <w:p>
      <w:pPr>
        <w:pStyle w:val="FirstParagraph"/>
      </w:pPr>
      <w:r>
        <w:t xml:space="preserve">While not definitively established, most clinicians and guidelines recommend definitive restoration within 2-4 weeks of obturation. Longer delays require a well-sealed provisional restoration. IRM or Cavit with adequate thickness are acceptable provisional materials for limited periods.</w:t>
      </w:r>
    </w:p>
    <w:p>
      <w:pPr>
        <w:numPr>
          <w:ilvl w:val="0"/>
          <w:numId w:val="1170"/>
        </w:numPr>
        <w:pStyle w:val="Compact"/>
      </w:pPr>
      <w:r>
        <w:t xml:space="preserve">How does same-day core placement affect outcomes?</w:t>
      </w:r>
    </w:p>
    <w:p>
      <w:pPr>
        <w:pStyle w:val="FirstParagraph"/>
      </w:pPr>
      <w:r>
        <w:t xml:space="preserve">Same-day core placement immediately after obturation is generally recommended to reduce the risk of coronal leakage. No evidence suggests that same-day core placement is harmful to the seal. Composite bonding may be performed in the same visit when the canal is dry and well-obturated.</w:t>
      </w:r>
    </w:p>
    <w:p>
      <w:pPr>
        <w:numPr>
          <w:ilvl w:val="0"/>
          <w:numId w:val="1171"/>
        </w:numPr>
        <w:pStyle w:val="Compact"/>
      </w:pPr>
      <w:r>
        <w:t xml:space="preserve">What is the minimum thickness of temporary material for adequate seal?</w:t>
      </w:r>
    </w:p>
    <w:p>
      <w:pPr>
        <w:pStyle w:val="FirstParagraph"/>
      </w:pPr>
      <w:r>
        <w:t xml:space="preserve">3.5 mm of Cavit is necessary to obtain optimal temporary seal (Webber).</w:t>
      </w:r>
    </w:p>
    <w:bookmarkEnd w:id="68"/>
    <w:bookmarkStart w:id="69" w:name="Xf7a35ac3a8d3ee81849736af68357e9431a7791"/>
    <w:p>
      <w:pPr>
        <w:pStyle w:val="Heading2"/>
      </w:pPr>
      <w:r>
        <w:t xml:space="preserve">8.2 Post Indications and Selection</w:t>
      </w:r>
    </w:p>
    <w:p>
      <w:pPr>
        <w:numPr>
          <w:ilvl w:val="0"/>
          <w:numId w:val="1172"/>
        </w:numPr>
        <w:pStyle w:val="Compact"/>
      </w:pPr>
      <w:r>
        <w:t xml:space="preserve">When is a post indicated vs. contraindicated?</w:t>
      </w:r>
    </w:p>
    <w:p>
      <w:pPr>
        <w:pStyle w:val="FirstParagraph"/>
      </w:pPr>
      <w:r>
        <w:t xml:space="preserve">A post is indicated when there is insufficient coronal tooth structure to retain a core (generally when more than 50% of coronal structure is missing) and when a crown is required. A post does not strengthen the root; its sole purpose is core retention. Post placement is contraindicated when adequate coronal structure remains for core retention, when root length or diameter is insufficient (&lt;8 mm), or when there is concern about root fracture risk outweighing the retention benefit.</w:t>
      </w:r>
    </w:p>
    <w:p>
      <w:pPr>
        <w:numPr>
          <w:ilvl w:val="0"/>
          <w:numId w:val="1173"/>
        </w:numPr>
        <w:pStyle w:val="Compact"/>
      </w:pPr>
      <w:r>
        <w:t xml:space="preserve">What is the evidence comparing fiber posts vs. metal posts?</w:t>
      </w:r>
    </w:p>
    <w:p>
      <w:pPr>
        <w:pStyle w:val="FirstParagraph"/>
      </w:pPr>
      <w:r>
        <w:t xml:space="preserve">Fiber posts (glass or quartz fiber in resin matrix) have a modulus of elasticity similar to dentin, which distributes stress more favorably and results in restorable failure modes (debonding, core fracture) rather than catastrophic root fractures. Metal posts (cast or prefabricated stainless steel/titanium) have higher modulus of elasticity than dentin and are associated with unrestorable vertical root fractures when failure occurs. Systematic reviews and meta-analyses consistently favor fiber posts over metal posts for their more favorable failure mode {{cite: Fernandes 2003}}.</w:t>
      </w:r>
    </w:p>
    <w:p>
      <w:pPr>
        <w:numPr>
          <w:ilvl w:val="0"/>
          <w:numId w:val="1174"/>
        </w:numPr>
        <w:pStyle w:val="Compact"/>
      </w:pPr>
      <w:r>
        <w:t xml:space="preserve">How does post placement affect fracture resistance and failure mode?</w:t>
      </w:r>
    </w:p>
    <w:p>
      <w:pPr>
        <w:pStyle w:val="FirstParagraph"/>
      </w:pPr>
      <w:r>
        <w:t xml:space="preserve">Post placement per se does not increase fracture resistance compared to no post when adequate coronal structure exists. The crown provides the cuspal protection that significantly improves fracture resistance. Ferrule effect (2 mm of sound tooth structure circumferentially) is more important than post type for fracture resistance. Fiber posts promote restorable failures (debonding/decementation) while metal posts promote non-restorable failures (vertical root fracture) {{cite: Fernandes 2003}}.</w:t>
      </w:r>
    </w:p>
    <w:p>
      <w:pPr>
        <w:numPr>
          <w:ilvl w:val="0"/>
          <w:numId w:val="1175"/>
        </w:numPr>
        <w:pStyle w:val="Compact"/>
      </w:pPr>
      <w:r>
        <w:t xml:space="preserve">What is the optimal post length and diameter?</w:t>
      </w:r>
    </w:p>
    <w:p>
      <w:pPr>
        <w:pStyle w:val="FirstParagraph"/>
      </w:pPr>
      <w:r>
        <w:t xml:space="preserve">Post length should equal the crown-root ratio length (ideally 2/3 of the root length within bone), and a minimum of 1:1 post-to-crown length ratio is recommended. Post diameter should be 1/3 or less of root diameter to minimize root weakening. At least 5-7 mm of gutta percha should remain in the canal after post preparation (Mattison et al).</w:t>
      </w:r>
    </w:p>
    <w:bookmarkEnd w:id="69"/>
    <w:bookmarkStart w:id="70" w:name="X37d808a23036a1b9564c074bda4f4569acff944"/>
    <w:p>
      <w:pPr>
        <w:pStyle w:val="Heading2"/>
      </w:pPr>
      <w:r>
        <w:t xml:space="preserve">8.3 Core Material Selection</w:t>
      </w:r>
    </w:p>
    <w:p>
      <w:pPr>
        <w:numPr>
          <w:ilvl w:val="0"/>
          <w:numId w:val="1176"/>
        </w:numPr>
        <w:pStyle w:val="Compact"/>
      </w:pPr>
      <w:r>
        <w:t xml:space="preserve">What are the properties of ideal core materials?</w:t>
      </w:r>
    </w:p>
    <w:p>
      <w:pPr>
        <w:pStyle w:val="FirstParagraph"/>
      </w:pPr>
      <w:r>
        <w:t xml:space="preserve">An ideal core material is: dimensionally stable (minimal shrinkage), biocompatible, adhesive to dentin or chemically retentive, sufficient compressive and tensile strength to support the overlying crown, moisture-tolerant (especially if placed immediately after obturation), and radiopaque for detectability.</w:t>
      </w:r>
    </w:p>
    <w:p>
      <w:pPr>
        <w:numPr>
          <w:ilvl w:val="0"/>
          <w:numId w:val="1177"/>
        </w:numPr>
        <w:pStyle w:val="Compact"/>
      </w:pPr>
      <w:r>
        <w:t xml:space="preserve">How do different core materials (composite, amalgam, resin-modified GI) compare?</w:t>
      </w:r>
    </w:p>
    <w:p>
      <w:pPr>
        <w:pStyle w:val="FirstParagraph"/>
      </w:pPr>
      <w:r>
        <w:t xml:space="preserve">Composite resin is the most commonly used core material: high compressive strength, bonds to dentin with adhesive systems, and is radiopaque. Amalgam provides excellent compressive strength and marginal adaptation over time but requires mechanical retention (undercuts or pins) and is not adhesive. Resin-modified glass ionomer (RMGI) is moisture-tolerant and fluoride-releasing but has lower strength and is best reserved for limited core buildups. In terms of clinical performance, composite and amalgam cores under crowns have similar survival rates. IRM (intermediate restorative material) is not suitable as a core material due to insufficient strength.</w:t>
      </w:r>
    </w:p>
    <w:p>
      <w:pPr>
        <w:numPr>
          <w:ilvl w:val="0"/>
          <w:numId w:val="1178"/>
        </w:numPr>
        <w:pStyle w:val="Compact"/>
      </w:pPr>
      <w:r>
        <w:t xml:space="preserve">What bonding considerations are relevant for endodontically treated teeth?</w:t>
      </w:r>
    </w:p>
    <w:p>
      <w:pPr>
        <w:pStyle w:val="FirstParagraph"/>
      </w:pPr>
      <w:r>
        <w:t xml:space="preserve">Eugenol-containing sealers (ZOE) can inhibit polymerization of resin composites and adhesives if residual sealer contaminates the pulp chamber. The use of self-etch or 10-MDP-based adhesives (e.g., Clearfil SE Bond, Panavia) is preferred in these situations as they are less inhibited by eugenol. Dentin in endodontically treated teeth may have reduced moisture, which can affect bond strength with total-etch systems; self-etch adhesives are generally more forgiving. NaOCl residue can inhibit polymerization; rinsing with sterile water or sodium thiosulfate before bonding is recommended.</w:t>
      </w:r>
    </w:p>
    <w:bookmarkEnd w:id="70"/>
    <w:bookmarkStart w:id="71" w:name="X8802a6357e620e00627f7ddf1beaef51a1bd78c"/>
    <w:p>
      <w:pPr>
        <w:pStyle w:val="Heading2"/>
      </w:pPr>
      <w:r>
        <w:t xml:space="preserve">8.4 Cuspal Coverage Decisions</w:t>
      </w:r>
    </w:p>
    <w:p>
      <w:pPr>
        <w:numPr>
          <w:ilvl w:val="0"/>
          <w:numId w:val="1179"/>
        </w:numPr>
        <w:pStyle w:val="Compact"/>
      </w:pPr>
      <w:r>
        <w:t xml:space="preserve">When is cuspal coverage indicated for endodontically treated teeth?</w:t>
      </w:r>
    </w:p>
    <w:p>
      <w:pPr>
        <w:pStyle w:val="FirstParagraph"/>
      </w:pPr>
      <w:r>
        <w:t xml:space="preserve">Cuspal coverage is indicated for posterior teeth (premolars and molars) after root canal treatment, as these teeth are subject to high occlusal forces and are at significantly higher risk of cuspal fracture. Anterior teeth with adequate remaining structure generally do not require full coverage if the access preparation can be adequately sealed with composite. Any tooth with 2 or more missing walls, heavy occlusal contacts, or parafunctional habits warrants cuspal coverage.</w:t>
      </w:r>
    </w:p>
    <w:p>
      <w:pPr>
        <w:numPr>
          <w:ilvl w:val="0"/>
          <w:numId w:val="1180"/>
        </w:numPr>
        <w:pStyle w:val="Compact"/>
      </w:pPr>
      <w:r>
        <w:t xml:space="preserve">How does cuspal coverage affect tooth survival?</w:t>
      </w:r>
    </w:p>
    <w:p>
      <w:pPr>
        <w:pStyle w:val="FirstParagraph"/>
      </w:pPr>
      <w:r>
        <w:t xml:space="preserve">Cuspal coverage dramatically improves survival of endodontically treated posterior teeth. ==Endodontically treated teeth without crowns are 6x more likely to be lost than those with crowns== {{cite: Aquilino and Caplan 2002}}. ==The study measured overall tooth loss/survival, not fracture specifically.== The survival benefit is greatest for posterior teeth under heavy occlusal loading.</w:t>
      </w:r>
    </w:p>
    <w:p>
      <w:pPr>
        <w:pStyle w:val="BodyText"/>
      </w:pPr>
      <w:r>
        <w:t xml:space="preserve">==Ray and Trope (1995) reported that the quality of coronal restoration had a greater impact on periapical health than the quality of the root canal filling in their retrospective cross-sectional study of 1,010 teeth. However, the subsequent Gillen et al. (2011) systematic review and meta-analysis found no statistically significant difference in healing odds between the two factors — both adequate restoration and adequate root canal treatment are independently critical for success.==</w:t>
      </w:r>
    </w:p>
    <w:p>
      <w:pPr>
        <w:numPr>
          <w:ilvl w:val="0"/>
          <w:numId w:val="1181"/>
        </w:numPr>
        <w:pStyle w:val="Compact"/>
      </w:pPr>
      <w:r>
        <w:t xml:space="preserve">What factors influence the decision (tooth type, remaining structure, occlusal forces)?</w:t>
      </w:r>
    </w:p>
    <w:p>
      <w:pPr>
        <w:pStyle w:val="FirstParagraph"/>
      </w:pPr>
      <w:r>
        <w:t xml:space="preserve">Key factors include: (1) tooth type — posterior teeth almost universally benefit from cuspal coverage; (2) remaining tooth structure — number of remaining walls, ferrule height, and cusp integrity; (3) occlusal forces — bruxers and those with high masticatory forces have greater need; (4) strategic importance of the tooth — abutment teeth for fixed or removable prostheses generally warrant the most durable restoration; (5) patient age and long-term treatment plan.</w:t>
      </w:r>
    </w:p>
    <w:p>
      <w:pPr>
        <w:numPr>
          <w:ilvl w:val="0"/>
          <w:numId w:val="1182"/>
        </w:numPr>
        <w:pStyle w:val="Compact"/>
      </w:pPr>
      <w:r>
        <w:t xml:space="preserve">What is the evidence for different types of cuspal coverage (crown, onlay, overlay)?</w:t>
      </w:r>
    </w:p>
    <w:p>
      <w:pPr>
        <w:pStyle w:val="FirstParagraph"/>
      </w:pPr>
      <w:r>
        <w:t xml:space="preserve">Direct composite overlays provide an adhesive, minimally invasive option for teeth with adequate remaining structure. Ceramic or indirect onlays/overlays offer superior strength and wear resistance compared to direct composites. Full coverage crowns remain the traditional choice for heavily broken-down teeth but sacrifice additional tooth structure. Studies show similar outcomes between indirect onlays and crowns when ferrule is adequate and bonding principles are followed.</w:t>
      </w:r>
    </w:p>
    <w:p>
      <w:pPr>
        <w:numPr>
          <w:ilvl w:val="0"/>
          <w:numId w:val="1183"/>
        </w:numPr>
        <w:pStyle w:val="Compact"/>
      </w:pPr>
      <w:r>
        <w:t xml:space="preserve">What percentage of crowned vital teeth will eventually need RCT?</w:t>
      </w:r>
    </w:p>
    <w:p>
      <w:pPr>
        <w:pStyle w:val="FirstParagraph"/>
      </w:pPr>
      <w:r>
        <w:t xml:space="preserve">==17% of crowned teeth (vital and root-filled combined) developed pulpal complications requiring endodontic treatment over 25 years (Valderhaug et al). The Cheung 2005 study reported 33.8% pulp necrosis in bridge retainer teeth at 10 years — note this applies to fixed bridge retainers, not removable partial denture abutments.==</w:t>
      </w:r>
    </w:p>
    <w:bookmarkEnd w:id="71"/>
    <w:bookmarkStart w:id="72" w:name="X961d634c1a230332552d48a362652f574db4084"/>
    <w:p>
      <w:pPr>
        <w:pStyle w:val="Heading2"/>
      </w:pPr>
      <w:r>
        <w:t xml:space="preserve">8.5 Post-Operative Pain and Occlusal Adjustment</w:t>
      </w:r>
    </w:p>
    <w:p>
      <w:pPr>
        <w:numPr>
          <w:ilvl w:val="0"/>
          <w:numId w:val="1184"/>
        </w:numPr>
        <w:pStyle w:val="Compact"/>
      </w:pPr>
      <w:r>
        <w:t xml:space="preserve">Does occlusal adjustment decrease post-operative pain?</w:t>
      </w:r>
    </w:p>
    <w:p>
      <w:pPr>
        <w:pStyle w:val="FirstParagraph"/>
      </w:pPr>
      <w:r>
        <w:t xml:space="preserve">According to Rosenberg, occlusal adjustment decreases post-op pain when there is: 1) preoperative pain, 2) percussion sensitivity, 3) pulp vitality, and 4) absence of a periapical radiolucency.</w:t>
      </w:r>
    </w:p>
    <w:bookmarkEnd w:id="72"/>
    <w:bookmarkEnd w:id="73"/>
    <w:bookmarkStart w:id="82" w:name="X94e662b816d08bf12341a9f47cd86bf8c64ffdd"/>
    <w:p>
      <w:pPr>
        <w:pStyle w:val="Heading1"/>
      </w:pPr>
      <w:r>
        <w:t xml:space="preserve">9. Complications and Management</w:t>
      </w:r>
    </w:p>
    <w:bookmarkStart w:id="74" w:name="Xb6b985da73ea11f9a6f1ce3af3c65983d65cd43"/>
    <w:p>
      <w:pPr>
        <w:pStyle w:val="Heading2"/>
      </w:pPr>
      <w:r>
        <w:t xml:space="preserve">9.1 Instrument Separation Management</w:t>
      </w:r>
    </w:p>
    <w:p>
      <w:pPr>
        <w:numPr>
          <w:ilvl w:val="0"/>
          <w:numId w:val="1185"/>
        </w:numPr>
        <w:pStyle w:val="Compact"/>
      </w:pPr>
      <w:r>
        <w:t xml:space="preserve">What factors determine prognosis after instrument separation?</w:t>
      </w:r>
    </w:p>
    <w:p>
      <w:pPr>
        <w:pStyle w:val="FirstParagraph"/>
      </w:pPr>
      <w:r>
        <w:t xml:space="preserve">The presence of a pre-operative periapical lesion has the greatest impact on outcome (Spili and Messer). When the canal can be cleaned and obturated to the level of the fragment in a tooth without pre-operative pathosis, long-term success rates are comparable to treatment without separation.</w:t>
      </w:r>
    </w:p>
    <w:p>
      <w:pPr>
        <w:numPr>
          <w:ilvl w:val="0"/>
          <w:numId w:val="1186"/>
        </w:numPr>
        <w:pStyle w:val="Compact"/>
      </w:pPr>
      <w:r>
        <w:t xml:space="preserve">What techniques are available for separated instrument retrieval?</w:t>
      </w:r>
    </w:p>
    <w:p>
      <w:pPr>
        <w:pStyle w:val="FirstParagraph"/>
      </w:pPr>
      <w:r>
        <w:t xml:space="preserve">The principal retrieval techniques are bypassing the fragment with fine hand files and removing or loosening it with ultrasonic vibration under magnification. Specialized kits (e.g., Instrument Removal System, loop techniques) may be used when ultrasonics alone are insufficient.</w:t>
      </w:r>
    </w:p>
    <w:p>
      <w:pPr>
        <w:numPr>
          <w:ilvl w:val="0"/>
          <w:numId w:val="1187"/>
        </w:numPr>
        <w:pStyle w:val="Compact"/>
      </w:pPr>
      <w:r>
        <w:t xml:space="preserve">When should you attempt bypass vs. retrieval vs. leave in place?</w:t>
      </w:r>
    </w:p>
    <w:p>
      <w:pPr>
        <w:pStyle w:val="FirstParagraph"/>
      </w:pPr>
      <w:r>
        <w:t xml:space="preserve">Leave the instrument in place and obturate to that level when attempting removal would cause more structural compromise or perforation risk than the fragment itself {{cite: Madarati 2018}}. Bypassing is preferred over aggressive retrieval whenever feasible.</w:t>
      </w:r>
    </w:p>
    <w:p>
      <w:pPr>
        <w:numPr>
          <w:ilvl w:val="0"/>
          <w:numId w:val="1188"/>
        </w:numPr>
        <w:pStyle w:val="Compact"/>
      </w:pPr>
      <w:r>
        <w:t xml:space="preserve">How does separated instrument affect treatment outcomes?</w:t>
      </w:r>
    </w:p>
    <w:p>
      <w:pPr>
        <w:pStyle w:val="FirstParagraph"/>
      </w:pPr>
      <w:r>
        <w:t xml:space="preserve">No significant effect of instrument separation on treatment outcomes if there was no pre-op PA and the fracture occurred in the apical 1/3 {{cite: Spili 2005}}.</w:t>
      </w:r>
    </w:p>
    <w:bookmarkEnd w:id="74"/>
    <w:bookmarkStart w:id="75" w:name="Xb840ee9bbfa0b4a573289d23e0e9b63af167ed3"/>
    <w:p>
      <w:pPr>
        <w:pStyle w:val="Heading2"/>
      </w:pPr>
      <w:r>
        <w:t xml:space="preserve">9.2 Perforation Repair Timing and Materials</w:t>
      </w:r>
    </w:p>
    <w:p>
      <w:pPr>
        <w:numPr>
          <w:ilvl w:val="0"/>
          <w:numId w:val="1189"/>
        </w:numPr>
        <w:pStyle w:val="Compact"/>
      </w:pPr>
      <w:r>
        <w:t xml:space="preserve">How does perforation location affect prognosis?</w:t>
      </w:r>
    </w:p>
    <w:p>
      <w:pPr>
        <w:pStyle w:val="FirstParagraph"/>
      </w:pPr>
      <w:r>
        <w:t xml:space="preserve">The 1-year and beyond perforation repair success rate is 86% (Mente). Overall pooled success is 72.5% but MTA use increases that to 80.9% (Mente).</w:t>
      </w:r>
    </w:p>
    <w:p>
      <w:pPr>
        <w:numPr>
          <w:ilvl w:val="0"/>
          <w:numId w:val="1190"/>
        </w:numPr>
        <w:pStyle w:val="Compact"/>
      </w:pPr>
      <w:r>
        <w:t xml:space="preserve">What is the evidence for immediate vs. delayed perforation repair?</w:t>
      </w:r>
    </w:p>
    <w:p>
      <w:pPr>
        <w:pStyle w:val="FirstParagraph"/>
      </w:pPr>
      <w:r>
        <w:t xml:space="preserve">Mente 2014 and Pontious 2013 showed that immediate repair with MTA had similar success rates to traditional NSRCT.</w:t>
      </w:r>
    </w:p>
    <w:p>
      <w:pPr>
        <w:numPr>
          <w:ilvl w:val="0"/>
          <w:numId w:val="1191"/>
        </w:numPr>
        <w:pStyle w:val="Compact"/>
      </w:pPr>
      <w:r>
        <w:t xml:space="preserve">What factors predict success of perforation repair?</w:t>
      </w:r>
    </w:p>
    <w:p>
      <w:pPr>
        <w:pStyle w:val="FirstParagraph"/>
      </w:pPr>
      <w:r>
        <w:t xml:space="preserve">Time, size and location (crestal is the worst) {{cite: Fuss and Trope 1996}}.</w:t>
      </w:r>
    </w:p>
    <w:bookmarkEnd w:id="75"/>
    <w:bookmarkStart w:id="76" w:name="X7f728244fe729816a5384f4ee93bfd2d3bf5866"/>
    <w:p>
      <w:pPr>
        <w:pStyle w:val="Heading2"/>
      </w:pPr>
      <w:r>
        <w:t xml:space="preserve">9.3 Ledge/Transportation Management</w:t>
      </w:r>
    </w:p>
    <w:p>
      <w:pPr>
        <w:numPr>
          <w:ilvl w:val="0"/>
          <w:numId w:val="1192"/>
        </w:numPr>
        <w:pStyle w:val="Compact"/>
      </w:pPr>
      <w:r>
        <w:t xml:space="preserve">What techniques are used to negotiate ledges?</w:t>
      </w:r>
    </w:p>
    <w:p>
      <w:pPr>
        <w:pStyle w:val="FirstParagraph"/>
      </w:pPr>
      <w:r>
        <w:t xml:space="preserve">A ledge is an artificially created irregularity on the canal wall that prevents instruments from progressing to the apex. Techniques for negotiation include: (1) pre-curving a small stainless steel hand file (size 10 or 15) in the direction of the ledge to deflect past the obstruction; (2) recapitulation with short, watch-winding, patency-maintaining strokes; (3) use of chelating agents (e.g., EDTA) to soften dentin and aid progression; (4) magnification (microscope or loupes) to visualize the original canal path; and (5) in severe cases, CBCT imaging to confirm canal anatomy before attempting negotiation. Once bypassed, the ledge area should be smoothed with small rotary files using light pressure.</w:t>
      </w:r>
    </w:p>
    <w:p>
      <w:pPr>
        <w:numPr>
          <w:ilvl w:val="0"/>
          <w:numId w:val="1193"/>
        </w:numPr>
        <w:pStyle w:val="Compact"/>
      </w:pPr>
      <w:r>
        <w:t xml:space="preserve">How does canal transportation affect treatment outcomes?</w:t>
      </w:r>
    </w:p>
    <w:p>
      <w:pPr>
        <w:pStyle w:val="FirstParagraph"/>
      </w:pPr>
      <w:r>
        <w:t xml:space="preserve">Canal transportation (deviation of the prepared canal from the original canal path) is associated with reduced treatment success, particularly when apical transportation occurs. Apical transportation can result in loss of the apical stop (causing obturation difficulties), perforation, and reduced seal quality. A systematic review by Peters (2004) noted that transportation was most severe in the apical 5 mm and was related to instrument stiffness and technique. Outcomes are inferior when significant transportation is accompanied by a pre-existing periapical lesion {{cite: Peters 2004}}.</w:t>
      </w:r>
    </w:p>
    <w:p>
      <w:pPr>
        <w:numPr>
          <w:ilvl w:val="0"/>
          <w:numId w:val="1194"/>
        </w:numPr>
        <w:pStyle w:val="Compact"/>
      </w:pPr>
      <w:r>
        <w:t xml:space="preserve">What is the acceptable degree of transportation?</w:t>
      </w:r>
    </w:p>
    <w:p>
      <w:pPr>
        <w:pStyle w:val="FirstParagraph"/>
      </w:pPr>
      <w:r>
        <w:t xml:space="preserve">Minor transportation (&lt;0.3 mm) in the coronal and middle thirds generally does not compromise outcomes. Apical transportation &gt;0.3 mm has a clinically significant negative impact on canal seal and outcomes. Transportation that results in perforation is a serious complication requiring immediate repair. Use of NiTi rotary systems significantly reduces transportation compared to stainless steel files due to the shape memory and flexibility of NiTi alloy.</w:t>
      </w:r>
    </w:p>
    <w:bookmarkEnd w:id="76"/>
    <w:bookmarkStart w:id="77" w:name="X034894eaefe0b9b59ce257aade941d07b735ab1"/>
    <w:p>
      <w:pPr>
        <w:pStyle w:val="Heading2"/>
      </w:pPr>
      <w:r>
        <w:t xml:space="preserve">9.4 Sodium Hypochlorite Accident Response</w:t>
      </w:r>
    </w:p>
    <w:p>
      <w:pPr>
        <w:numPr>
          <w:ilvl w:val="0"/>
          <w:numId w:val="1195"/>
        </w:numPr>
        <w:pStyle w:val="Compact"/>
      </w:pPr>
      <w:r>
        <w:t xml:space="preserve">What is the mechanism of injury in NaOCl accidents?</w:t>
      </w:r>
    </w:p>
    <w:p>
      <w:pPr>
        <w:pStyle w:val="FirstParagraph"/>
      </w:pPr>
      <w:r>
        <w:t xml:space="preserve">NaOCl accidents occur when irrigant is extruded beyond the apex into periapical tissues. The mechanism of injury is a combination of: (1) direct cytotoxic and hemolytic effect of NaOCl on soft tissue proteins (rapid dissolution of organic tissue); (2) osmotic effect causing tissue edema; and (3) in severe cases, penetration into blood vessels causing systemic effects including subcutaneous emphysema, ecchymosis, and even airway compromise. The severity is directly related to concentration, volume extruded, and pressure of delivery.</w:t>
      </w:r>
    </w:p>
    <w:p>
      <w:pPr>
        <w:numPr>
          <w:ilvl w:val="0"/>
          <w:numId w:val="1196"/>
        </w:numPr>
        <w:pStyle w:val="Compact"/>
      </w:pPr>
      <w:r>
        <w:t xml:space="preserve">What is the immediate management protocol?</w:t>
      </w:r>
    </w:p>
    <w:p>
      <w:pPr>
        <w:pStyle w:val="FirstParagraph"/>
      </w:pPr>
      <w:r>
        <w:t xml:space="preserve">Immediate steps: (1) stop irrigation immediately; (2) place patient supine if near syncope; (3) apply cold compresses to the affected region to reduce swelling; (4) prescribe analgesics (NSAIDs +/- opioids) for pain management; (5) prescribe corticosteroids (dexamethasone 4 mg) to reduce inflammatory edema; (6) prescribe antibiotics (amoxicillin 500 mg TID x 7 days) as prophylaxis against secondary infection; (7) instruct patient on signs of airway compromise and when to go to the emergency room; (8) document the event thoroughly; (9) follow up within 24-48 hours {{cite: Hulsmann 2000}}.</w:t>
      </w:r>
    </w:p>
    <w:p>
      <w:pPr>
        <w:numPr>
          <w:ilvl w:val="0"/>
          <w:numId w:val="1197"/>
        </w:numPr>
        <w:pStyle w:val="Compact"/>
      </w:pPr>
      <w:r>
        <w:t xml:space="preserve">What is the expected clinical course and long-term sequelae?</w:t>
      </w:r>
    </w:p>
    <w:p>
      <w:pPr>
        <w:pStyle w:val="FirstParagraph"/>
      </w:pPr>
      <w:r>
        <w:t xml:space="preserve">The initial triad of signs are sudden pain, profuse bleeding, and immediate swelling.</w:t>
      </w:r>
    </w:p>
    <w:p>
      <w:pPr>
        <w:pStyle w:val="BodyText"/>
      </w:pPr>
      <w:r>
        <w:t xml:space="preserve">Swelling typically peaks at 24-48 hours and gradually resolves over 1-2 weeks. Ecchymosis and bruising tracking along fascial planes may appear and spread over several days. Most patients recover fully within 2-4 weeks without permanent sequelae. In severe cases: nerve damage (paresthesia), tissue necrosis requiring surgical debridement, and infection are possible complications. Scarring is rare but possible. Prognosis of the tooth itself depends on how well the root canal can ultimately be completed.</w:t>
      </w:r>
    </w:p>
    <w:p>
      <w:pPr>
        <w:numPr>
          <w:ilvl w:val="0"/>
          <w:numId w:val="1198"/>
        </w:numPr>
        <w:pStyle w:val="Compact"/>
      </w:pPr>
      <w:r>
        <w:t xml:space="preserve">What preventive measures reduce risk?</w:t>
      </w:r>
    </w:p>
    <w:p>
      <w:pPr>
        <w:pStyle w:val="FirstParagraph"/>
      </w:pPr>
      <w:r>
        <w:t xml:space="preserve">Use passive, low-pressure irrigation delivery (no luer-lock syringe forced to depth). Maintain a safety zone: needle 2-3 mm short of working length, with side-venting needles (not end-venting). Use lower concentrations (1-2.5%) especially in immature teeth or teeth with open apices. Avoid forcing irrigant under pressure. Confirm working length before initiating NaOCl irrigation.</w:t>
      </w:r>
    </w:p>
    <w:bookmarkEnd w:id="77"/>
    <w:bookmarkStart w:id="78" w:name="Xb1ea5ed6f31fb09020a3e1fe5e81c7cdb37ae50"/>
    <w:p>
      <w:pPr>
        <w:pStyle w:val="Heading2"/>
      </w:pPr>
      <w:r>
        <w:t xml:space="preserve">9.5 Flare-Up Management</w:t>
      </w:r>
    </w:p>
    <w:p>
      <w:pPr>
        <w:numPr>
          <w:ilvl w:val="0"/>
          <w:numId w:val="1199"/>
        </w:numPr>
        <w:pStyle w:val="Compact"/>
      </w:pPr>
      <w:r>
        <w:t xml:space="preserve">What is the incidence and etiology of endodontic flare-ups?</w:t>
      </w:r>
    </w:p>
    <w:p>
      <w:pPr>
        <w:pStyle w:val="FirstParagraph"/>
      </w:pPr>
      <w:r>
        <w:t xml:space="preserve">The incidence of flare-ups is 8.4% (Tsesis). The incidence is around 5.8% in teeth with periapical lesions (Yu et al).</w:t>
      </w:r>
    </w:p>
    <w:p>
      <w:pPr>
        <w:numPr>
          <w:ilvl w:val="0"/>
          <w:numId w:val="1200"/>
        </w:numPr>
        <w:pStyle w:val="Compact"/>
      </w:pPr>
      <w:r>
        <w:t xml:space="preserve">What factors increase flare-up risk?</w:t>
      </w:r>
    </w:p>
    <w:p>
      <w:pPr>
        <w:pStyle w:val="FirstParagraph"/>
      </w:pPr>
      <w:r>
        <w:t xml:space="preserve">Diabetes increases the rate of flare-ups and reduces overall success (Fouad and Burleson). Walton's review identified several factors that increase flare-up risk: female sex, pulpal necrosis, acute apical abscess, acute apical periodontitis, large periradicular radiolucency, and pre-operative pain or swelling. Conversely, vital pulps, the presence of a sinus tract, and completion of obturation at the same visit are associated with decreased flare-up incidence.</w:t>
      </w:r>
    </w:p>
    <w:p>
      <w:pPr>
        <w:numPr>
          <w:ilvl w:val="0"/>
          <w:numId w:val="1201"/>
        </w:numPr>
        <w:pStyle w:val="Compact"/>
      </w:pPr>
      <w:r>
        <w:t xml:space="preserve">What is the management protocol for flare-ups?</w:t>
      </w:r>
    </w:p>
    <w:p>
      <w:pPr>
        <w:pStyle w:val="FirstParagraph"/>
      </w:pPr>
      <w:r>
        <w:t xml:space="preserve">Management depends on severity: (1) Mild flare-up (pain without swelling): analgesics (NSAIDs first-line), reassurance, follow-up in 24-48 hours; (2) Moderate flare-up (pain + localized swelling without fluctuance): analgesics + corticosteroids (dexamethasone) to reduce inflammation, possible re-entry for additional irrigation and debridement; (3) Severe flare-up (fluctuant swelling, fever, systemic involvement): incision and drainage if fluctuant, antibiotics, referral if airway/systemic compromise is present. Trephination (penetrating through bone to allow drainage) is an option in non-fluctuant symptomatic cases. Re-entry and additional instrumentation and irrigation may be beneficial.</w:t>
      </w:r>
    </w:p>
    <w:p>
      <w:pPr>
        <w:numPr>
          <w:ilvl w:val="0"/>
          <w:numId w:val="1202"/>
        </w:numPr>
        <w:pStyle w:val="Compact"/>
      </w:pPr>
      <w:r>
        <w:t xml:space="preserve">When are antibiotics indicated?</w:t>
      </w:r>
    </w:p>
    <w:p>
      <w:pPr>
        <w:pStyle w:val="FirstParagraph"/>
      </w:pPr>
      <w:r>
        <w:t xml:space="preserve">Antibiotics are indicated when there are signs of systemic involvement (fever &gt;101°F, malaise, cellulitis with diffuse swelling that crosses fascial planes, lymphadenopathy, or trismus). Antibiotics are NOT indicated for localized, fluctuant abscesses that can be adequately drained. Over-prescription of antibiotics for dental pain without evidence of spreading infection contributes significantly to antibiotic resistance. Amoxicillin 500 mg TID for 7 days is the first-line agent; clindamycin or azithromycin for penicillin-allergic patients {{cite: Fouad and Burleson 2003}}.</w:t>
      </w:r>
    </w:p>
    <w:bookmarkEnd w:id="78"/>
    <w:bookmarkStart w:id="79" w:name="X7eade9e6f73607ff54d52da7bdca24a40b1dca8"/>
    <w:p>
      <w:pPr>
        <w:pStyle w:val="Heading2"/>
      </w:pPr>
      <w:r>
        <w:t xml:space="preserve">9.6 Persistent Infection Workup</w:t>
      </w:r>
    </w:p>
    <w:p>
      <w:pPr>
        <w:numPr>
          <w:ilvl w:val="0"/>
          <w:numId w:val="1203"/>
        </w:numPr>
        <w:pStyle w:val="Compact"/>
      </w:pPr>
      <w:r>
        <w:t xml:space="preserve">What are the causes of persistent periapical pathosis?</w:t>
      </w:r>
    </w:p>
    <w:p>
      <w:pPr>
        <w:pStyle w:val="FirstParagraph"/>
      </w:pPr>
      <w:r>
        <w:t xml:space="preserve">Causes include periapical actinomycosis (Nair). The prevalence of apical periodontitis in endodontically treated teeth is 41.3% (Jakovljevic et al).</w:t>
      </w:r>
    </w:p>
    <w:p>
      <w:pPr>
        <w:numPr>
          <w:ilvl w:val="0"/>
          <w:numId w:val="1204"/>
        </w:numPr>
        <w:pStyle w:val="Compact"/>
      </w:pPr>
      <w:r>
        <w:t xml:space="preserve">What diagnostic workup is indicated for persistent disease?</w:t>
      </w:r>
    </w:p>
    <w:p>
      <w:pPr>
        <w:pStyle w:val="FirstParagraph"/>
      </w:pPr>
      <w:r>
        <w:t xml:space="preserve">Workup for persistent periapical pathosis should include: (1) updated periapical radiographs and CBCT to assess for missed canals, untreated anatomy, or extent of lesion; (2) review of original treatment quality (obturation length, density, coronal seal); (3) clinical examination for sinus tracts (trace with gutta-percha point to confirm origin); (4) percussion and palpation testing; (5) assessment for non-endodontic causes (vertical root fracture, periodontal disease, non-odontogenic pathology). CBCT is particularly valuable for detecting missed canals (e.g., MB2 in maxillary molars, middle mesial in mandibular molars) and assessing the relationship of the lesion to adjacent structures {{cite: Lofthag-Hansen 2007}}.</w:t>
      </w:r>
    </w:p>
    <w:p>
      <w:pPr>
        <w:numPr>
          <w:ilvl w:val="0"/>
          <w:numId w:val="1205"/>
        </w:numPr>
        <w:pStyle w:val="Compact"/>
      </w:pPr>
      <w:r>
        <w:t xml:space="preserve">What is the role of microbial sampling/culture?</w:t>
      </w:r>
    </w:p>
    <w:p>
      <w:pPr>
        <w:pStyle w:val="FirstParagraph"/>
      </w:pPr>
      <w:r>
        <w:t xml:space="preserve">Microbial sampling and culture are not routinely performed in standard endodontic practice. They may be considered in immunocompromised patients, cases of persistent infection despite adequate treatment, or in cases of systemic spread. Paper point sampling of the root canal followed by anaerobic culture can guide antibiotic selection in refractory cases. The most common persistent organism in previously treated canals is Enterococcus faecalis, which is resistant to CaOH and many standard intracanal medicaments due to its ability to survive in nutrient-poor, alkaline environments {{cite: Sundqvist 1998}}.</w:t>
      </w:r>
    </w:p>
    <w:p>
      <w:pPr>
        <w:numPr>
          <w:ilvl w:val="0"/>
          <w:numId w:val="1206"/>
        </w:numPr>
        <w:pStyle w:val="Compact"/>
      </w:pPr>
      <w:r>
        <w:t xml:space="preserve">When should extraradicular infection be suspected?</w:t>
      </w:r>
    </w:p>
    <w:p>
      <w:pPr>
        <w:pStyle w:val="FirstParagraph"/>
      </w:pPr>
      <w:r>
        <w:t xml:space="preserve">Extraradicular infection should be suspected when: (1) periapical pathosis persists despite technically adequate retreatment; (2) a sinus tract persists post-treatment; (3) there is a large, longstanding lesion (&gt;1 cm); (4) the lesion does not decrease in size after 12 months of well-executed treatment. Periapical actinomycosis (Nair) is the classic extraradicular infection; biofilm adherent to the outer root surface can maintain pathosis despite canal disinfection. True periapical cysts (bay cysts with epithelial lining independent of the root) may also require surgical management for resolution.</w:t>
      </w:r>
    </w:p>
    <w:bookmarkEnd w:id="79"/>
    <w:bookmarkStart w:id="80" w:name="X1abb2240fe67b70256ea35c7a4a0a5ec562933d"/>
    <w:p>
      <w:pPr>
        <w:pStyle w:val="Heading2"/>
      </w:pPr>
      <w:r>
        <w:t xml:space="preserve">9.7 Cemental Tears</w:t>
      </w:r>
    </w:p>
    <w:p>
      <w:pPr>
        <w:numPr>
          <w:ilvl w:val="0"/>
          <w:numId w:val="1207"/>
        </w:numPr>
        <w:pStyle w:val="Compact"/>
      </w:pPr>
      <w:r>
        <w:t xml:space="preserve">What is the etiology of cemental tears?</w:t>
      </w:r>
    </w:p>
    <w:p>
      <w:pPr>
        <w:pStyle w:val="FirstParagraph"/>
      </w:pPr>
      <w:r>
        <w:t xml:space="preserve">Cemental tears are most often caused by traumatic occlusion (Haney).</w:t>
      </w:r>
    </w:p>
    <w:p>
      <w:pPr>
        <w:numPr>
          <w:ilvl w:val="0"/>
          <w:numId w:val="1208"/>
        </w:numPr>
        <w:pStyle w:val="Compact"/>
      </w:pPr>
      <w:r>
        <w:t xml:space="preserve">What is the most effective treatment approach for cemental tears?</w:t>
      </w:r>
    </w:p>
    <w:p>
      <w:pPr>
        <w:pStyle w:val="FirstParagraph"/>
      </w:pPr>
      <w:r>
        <w:t xml:space="preserve">Lin's systematic review found surgical approach to be most effective for treatment. Mid and apical root cemental tears had the best treatment success.</w:t>
      </w:r>
    </w:p>
    <w:bookmarkEnd w:id="80"/>
    <w:bookmarkStart w:id="81" w:name="X67000ebb02cfbfa9b3e349075cbc2ec21931a13"/>
    <w:p>
      <w:pPr>
        <w:pStyle w:val="Heading2"/>
      </w:pPr>
      <w:r>
        <w:t xml:space="preserve">9.8 External Cervical Resorption (ECR)</w:t>
      </w:r>
    </w:p>
    <w:p>
      <w:pPr>
        <w:numPr>
          <w:ilvl w:val="0"/>
          <w:numId w:val="1209"/>
        </w:numPr>
        <w:pStyle w:val="Compact"/>
      </w:pPr>
      <w:r>
        <w:t xml:space="preserve">What is the pathogenesis of external cervical resorption (ECR) and why does it originate at the cervical region?</w:t>
      </w:r>
    </w:p>
    <w:p>
      <w:pPr>
        <w:pStyle w:val="FirstParagraph"/>
      </w:pPr>
      <w:r>
        <w:t xml:space="preserve">ECR is an aggressive, fibrovascular-driven form of external root resorption originating at or near the CEJ, initiated by clastic cells of periodontal ligament or bone marrow origin. The process begins on the external root surface, at the level of the cementoenamel junction, where a localized breach or hypomineralization in the protective cementoid/pre-cementum layer exposes dentin to clastic activation. Fibrovascular tissue invades through the portal of entry and progressively resorbs dentin and enamel while characteristically preserving a thin shell of pre-dentin and the pulpal complex until late stages. The pulp therefore typically remains vital until advanced disease. Ectopic calcifications — "resorptive islands" — are deposited by the fibrovascular tissue onto the resorbed dentin surface, a histopathologic hallmark distinguishing ECR from other resorption types.</w:t>
      </w:r>
      <w:r>
        <w:t xml:space="preserve"> </w:t>
      </w:r>
      <w:r>
        <w:rPr>
          <w:bCs/>
          <w:b/>
        </w:rPr>
        <w:t xml:space="preserve">Heithersay (1999, Aust Endod J):</w:t>
      </w:r>
      <w:r>
        <w:t xml:space="preserve"> </w:t>
      </w:r>
      <w:r>
        <w:t xml:space="preserve">described the histopathology in detail, noting preservation of predentin and the pulpal complex even in moderately advanced lesions. The cervical location is favored because the transition zone at the CEJ is an anatomical weak point where cementum may be absent or hypomineralized, and where the periodontal fiber insertion is shallow — making the surface vulnerable to inflammatory or mechanical disruption that initiates resorption. {{cite: Heithersay 1999 — ECR originates at CEJ via fibrovascular invasion preserving predentin; pulp typically vital until advanced stages}}</w:t>
      </w:r>
    </w:p>
    <w:p>
      <w:pPr>
        <w:numPr>
          <w:ilvl w:val="0"/>
          <w:numId w:val="1210"/>
        </w:numPr>
        <w:pStyle w:val="Compact"/>
      </w:pPr>
      <w:r>
        <w:t xml:space="preserve">What predisposing factors are associated with ECR?</w:t>
      </w:r>
    </w:p>
    <w:p>
      <w:pPr>
        <w:pStyle w:val="FirstParagraph"/>
      </w:pPr>
      <w:r>
        <w:t xml:space="preserve">ECR is multifactorial and the majority of clinical cases involve more than one identifiable predisposing factor.</w:t>
      </w:r>
      <w:r>
        <w:t xml:space="preserve"> </w:t>
      </w:r>
      <w:r>
        <w:rPr>
          <w:bCs/>
          <w:b/>
        </w:rPr>
        <w:t xml:space="preserve">Heithersay (1999, Quintessence Int, PMID 10356560)</w:t>
      </w:r>
      <w:r>
        <w:t xml:space="preserve"> </w:t>
      </w:r>
      <w:r>
        <w:t xml:space="preserve">analyzed 222 patients (257 teeth) and identified the following sole predisposing factors: orthodontic treatment — the most common sole factor — 21.2% of patients and 24.1% of teeth; dental trauma — 14.0% of patients, 15.1% of teeth; intracoronal (internal) bleaching — 4.5% of patients, 3.9% of teeth; surgery involving the CEJ area — 6.3% patients; periodontal root scaling/planing; and intracoronal restorations (sole identifiable factor in 15.3% patients). No identifiable factor was found in 15.0% of patients. Combinations were common: trauma plus bleaching occurred in 7.7% of patients, and orthodontics plus trauma in an additional portion.</w:t>
      </w:r>
      <w:r>
        <w:t xml:space="preserve"> </w:t>
      </w:r>
      <w:r>
        <w:rPr>
          <w:bCs/>
          <w:b/>
        </w:rPr>
        <w:t xml:space="preserve">Mavridou et al. (J Endod 2016/2017)</w:t>
      </w:r>
      <w:r>
        <w:t xml:space="preserve"> </w:t>
      </w:r>
      <w:r>
        <w:t xml:space="preserve">further confirmed that orthodontics, trauma, and bleaching are the dominant factors, and proposed that multifactorial cumulative insult — any agent that disrupts the protective cementum layer or triggers local inflammation — is the unifying mechanism. The biologic common pathway is damage to the protective pre-cementum (cementoid) layer, which, when lost, leaves underlying dentin accessible to clastic cells from the periodontal space. {{cite: Heithersay 1999 — Orthodontics most common sole predisposing factor (24.1% of teeth); trauma 15.1%; bleaching 3.9%}}</w:t>
      </w:r>
    </w:p>
    <w:p>
      <w:pPr>
        <w:numPr>
          <w:ilvl w:val="0"/>
          <w:numId w:val="1211"/>
        </w:numPr>
        <w:pStyle w:val="Compact"/>
      </w:pPr>
      <w:r>
        <w:t xml:space="preserve">Why does the cementoenamel junction represent a zone of vulnerability for resorption?</w:t>
      </w:r>
    </w:p>
    <w:p>
      <w:pPr>
        <w:pStyle w:val="FirstParagraph"/>
      </w:pPr>
      <w:r>
        <w:t xml:space="preserve">The CEJ represents an anatomical transition with several inherent structural vulnerabilities. In approximately 60–65% of teeth, cementum overlaps enamel at the CEJ; in approximately 30%, they meet edge-to-edge; and in 5–10%, a gap exists where dentin is directly exposed to the periodontium. This exposed or hypomineralized dentin at the CEJ lacks the protective pre-cementum (cementoid) layer that normally inhibits clastic cell attachment — analogous to osteoid's role in protecting bone from osteoclasts. The epithelial rests of Malassez are most concentrated near the CEJ; disruption of their protective phenotype may play a role in initiating clastic activity. Furthermore, the cementum in the cervical region is thinnest and most susceptible to mechanical disruption from orthodontic forces, surgical manipulation, or scaling. Bleaching agents (especially hydrogen peroxide and sodium perborate used in intracoronal bleaching) can penetrate dentinal tubules and may alter the cementum/PDL interface, further reducing cementoid integrity. The net result is a zone where relatively minor insults can trigger the inflammatory cascade that recruits osteoclast-like cells from the PDL or alveolar bone marrow to initiate external resorption.</w:t>
      </w:r>
      <w:r>
        <w:t xml:space="preserve"> </w:t>
      </w:r>
      <w:r>
        <w:rPr>
          <w:bCs/>
          <w:b/>
        </w:rPr>
        <w:t xml:space="preserve">Heithersay (1999)</w:t>
      </w:r>
      <w:r>
        <w:t xml:space="preserve"> </w:t>
      </w:r>
      <w:r>
        <w:t xml:space="preserve">specifically identified that surgery and procedures involving the CEJ area carry resorption risk, underscoring the anatomical sensitivity of this zone. {{cite: Heithersay 1999 — CEJ vulnerability: cementum absent or thin; procedures at CEJ carry ECR risk}}</w:t>
      </w:r>
    </w:p>
    <w:p>
      <w:pPr>
        <w:numPr>
          <w:ilvl w:val="0"/>
          <w:numId w:val="1212"/>
        </w:numPr>
        <w:pStyle w:val="Compact"/>
      </w:pPr>
      <w:r>
        <w:t xml:space="preserve">What is the Heithersay classification of ECR and how does class dictate treatment?</w:t>
      </w:r>
    </w:p>
    <w:p>
      <w:pPr>
        <w:pStyle w:val="FirstParagraph"/>
      </w:pPr>
      <w:r>
        <w:rPr>
          <w:bCs/>
          <w:b/>
        </w:rPr>
        <w:t xml:space="preserve">Heithersay (1999, Quintessence Int, PMID 10356561)</w:t>
      </w:r>
      <w:r>
        <w:t xml:space="preserve"> </w:t>
      </w:r>
      <w:r>
        <w:t xml:space="preserve">developed the most widely used radiographic/clinical classification based on depth of dentin invasion and coronal-to-radicular extension:</w:t>
      </w:r>
      <w:r>
        <w:t xml:space="preserve"> </w:t>
      </w:r>
      <w:r>
        <w:rPr>
          <w:bCs/>
          <w:b/>
        </w:rPr>
        <w:t xml:space="preserve">Class 1</w:t>
      </w:r>
      <w:r>
        <w:t xml:space="preserve"> </w:t>
      </w:r>
      <w:r>
        <w:t xml:space="preserve">— small lesion with shallow penetration into cervical dentin, near the CEJ;</w:t>
      </w:r>
      <w:r>
        <w:t xml:space="preserve"> </w:t>
      </w:r>
      <w:r>
        <w:rPr>
          <w:bCs/>
          <w:b/>
        </w:rPr>
        <w:t xml:space="preserve">Class 2</w:t>
      </w:r>
      <w:r>
        <w:t xml:space="preserve"> </w:t>
      </w:r>
      <w:r>
        <w:t xml:space="preserve">— well-defined lesion penetrating close to the coronal pulp chamber but with little or no extension into radicular dentin;</w:t>
      </w:r>
      <w:r>
        <w:t xml:space="preserve"> </w:t>
      </w:r>
      <w:r>
        <w:rPr>
          <w:bCs/>
          <w:b/>
        </w:rPr>
        <w:t xml:space="preserve">Class 3</w:t>
      </w:r>
      <w:r>
        <w:t xml:space="preserve"> </w:t>
      </w:r>
      <w:r>
        <w:t xml:space="preserve">— deeper lesion extending into the coronal third of radicular dentin;</w:t>
      </w:r>
      <w:r>
        <w:t xml:space="preserve"> </w:t>
      </w:r>
      <w:r>
        <w:rPr>
          <w:bCs/>
          <w:b/>
        </w:rPr>
        <w:t xml:space="preserve">Class 4</w:t>
      </w:r>
      <w:r>
        <w:t xml:space="preserve"> </w:t>
      </w:r>
      <w:r>
        <w:t xml:space="preserve">— large lesion extending beyond the coronal third of the root, often to the mid- or apical third. Treatment implications are direct: Class 1 and 2 lesions are accessible via a surgical flap, amenable to topical TCA application, curettage, and direct restoration without root canal treatment (pulp typically remains vital and protected). Class 3 lesions require the same surgical approach but may require root canal treatment if the pulp is compromised; outcomes are less certain. Class 4 lesions are generally extraction indications because surgical access, adequate debridement, and restoration are not achievable; the prognosis is poor regardless of technique. The classification is two-dimensional and was created from conventional radiographic assessment; it does not capture circumferential extent or lesion volume. {{cite: Heithersay 1999 — Class 1/2: 100% success; Class 3: 77.8% success; Class 4: 12.5% success with TCA/curettage/restoration}}</w:t>
      </w:r>
    </w:p>
    <w:p>
      <w:pPr>
        <w:numPr>
          <w:ilvl w:val="0"/>
          <w:numId w:val="1213"/>
        </w:numPr>
        <w:pStyle w:val="Compact"/>
      </w:pPr>
      <w:r>
        <w:t xml:space="preserve">How does the Patel CBCT-based classification improve on Heithersay for surgical planning?</w:t>
      </w:r>
    </w:p>
    <w:p>
      <w:pPr>
        <w:pStyle w:val="FirstParagraph"/>
      </w:pPr>
      <w:r>
        <w:rPr>
          <w:bCs/>
          <w:b/>
        </w:rPr>
        <w:t xml:space="preserve">Patel et al. (Int Endod J 2018, PMID 28746776)</w:t>
      </w:r>
      <w:r>
        <w:t xml:space="preserve"> </w:t>
      </w:r>
      <w:r>
        <w:t xml:space="preserve">proposed a three-dimensional classification using CBCT to address the key limitation of Heithersay's system — its inability to quantify lesion volume or circumferential extent. The Patel classification scores ECR in three independent dimensions: (1)</w:t>
      </w:r>
      <w:r>
        <w:t xml:space="preserve"> </w:t>
      </w:r>
      <w:r>
        <w:rPr>
          <w:bCs/>
          <w:b/>
        </w:rPr>
        <w:t xml:space="preserve">Height</w:t>
      </w:r>
      <w:r>
        <w:t xml:space="preserve"> </w:t>
      </w:r>
      <w:r>
        <w:t xml:space="preserve">— scored 1 to 4: 1 = supracrestal (at or coronal to the bone crest at CEJ level); 2 = subcrestal, extending into the coronal third of the root; 3 = extending into the mid-third; 4 = extending into the apical third; (2)</w:t>
      </w:r>
      <w:r>
        <w:t xml:space="preserve"> </w:t>
      </w:r>
      <w:r>
        <w:rPr>
          <w:bCs/>
          <w:b/>
        </w:rPr>
        <w:t xml:space="preserve">Circumferential spread</w:t>
      </w:r>
      <w:r>
        <w:t xml:space="preserve"> </w:t>
      </w:r>
      <w:r>
        <w:t xml:space="preserve">— scored A to D: A = ≤90°, B = ≤180°, C = ≤270°, D = &gt;270° of the root circumference; (3)</w:t>
      </w:r>
      <w:r>
        <w:t xml:space="preserve"> </w:t>
      </w:r>
      <w:r>
        <w:rPr>
          <w:bCs/>
          <w:b/>
        </w:rPr>
        <w:t xml:space="preserve">Proximity to the root canal</w:t>
      </w:r>
      <w:r>
        <w:t xml:space="preserve"> </w:t>
      </w:r>
      <w:r>
        <w:t xml:space="preserve">— scored "d" (lesion confined to dentin, no pulpal involvement) or "p" (probable pulpal involvement). A complete lesion descriptor is therefore written as, e.g., "2Bd" — subcrestal, involving ≤180° of the circumference, dentinal only. This three-dimensional characterization directly informs surgical access planning (flap design, whether orthodontic extrusion is needed, whether intentional replantation is warranted) and allows objective inter-clinician communication. Lesions scored "p" for probable pulpal involvement require root canal treatment; lesions with circumferential spread C or D are far more difficult to access and restore. However,</w:t>
      </w:r>
      <w:r>
        <w:t xml:space="preserve"> </w:t>
      </w:r>
      <w:r>
        <w:rPr>
          <w:bCs/>
          <w:b/>
        </w:rPr>
        <w:t xml:space="preserve">Jebril et al. (J Endod 2020, PMID 32334857)</w:t>
      </w:r>
      <w:r>
        <w:t xml:space="preserve"> </w:t>
      </w:r>
      <w:r>
        <w:t xml:space="preserve">found that the Patel classification had weak interobserver agreement (Cohen kappa 0.40) compared to the Heithersay classification (kappa 0.69), indicating that further refinement is needed. {{cite: Patel et al. 2018 — Three-dimensional CBCT classification: height 1–4, circumference A–D, canal proximity d/p}}</w:t>
      </w:r>
    </w:p>
    <w:p>
      <w:pPr>
        <w:numPr>
          <w:ilvl w:val="0"/>
          <w:numId w:val="1214"/>
        </w:numPr>
        <w:pStyle w:val="Compact"/>
      </w:pPr>
      <w:r>
        <w:t xml:space="preserve">How does ECR appear radiographically and how is it distinguished from internal root resorption?</w:t>
      </w:r>
    </w:p>
    <w:p>
      <w:pPr>
        <w:pStyle w:val="FirstParagraph"/>
      </w:pPr>
      <w:r>
        <w:t xml:space="preserve">On periapical radiographs, ECR presents as an irregular, poorly defined radiolucency at the cervical root, often asymmetric and with a "mottled" or heterogeneous internal density due to the characteristic calcifications (resorptive islands) deposited by the fibrovascular tissue — this mottled appearance is a key distinguishing feature. The lesion margins tend to be irregular and non-corticated on the external surface. The</w:t>
      </w:r>
      <w:r>
        <w:t xml:space="preserve"> </w:t>
      </w:r>
      <w:r>
        <w:rPr>
          <w:bCs/>
          <w:b/>
        </w:rPr>
        <w:t xml:space="preserve">critical radiographic distinction from internal root resorption (IRR)</w:t>
      </w:r>
      <w:r>
        <w:t xml:space="preserve"> </w:t>
      </w:r>
      <w:r>
        <w:t xml:space="preserve">is positional behavior on angled radiographs (SLOB/Clark's technique): an ECR lesion will shift position relative to the root canal when the X-ray angulation is changed (because it is external to the canal), whereas an IRR lesion moves with the canal because it originates within it. In ECR, the root canal outline is typically intact and can be traced through the lesion on a well-angulated radiograph — the "canal tracking" sign. In IRR, the canal is widened and balloon-shaped centrally. ECR also frequently has a sclerotic or condensed border on the lesion's external aspect (from the adjacent PDL response), while IRR has smooth, balloon-like internal borders. CBCT definitively resolves ambiguous cases by showing the three-dimensional position of the lesion relative to the root canal space. {{cite: Patel et al. 2018 — Mottled radiolucency, intact canal outline, and SLOB shift distinguish ECR from IRR}}</w:t>
      </w:r>
    </w:p>
    <w:p>
      <w:pPr>
        <w:numPr>
          <w:ilvl w:val="0"/>
          <w:numId w:val="1215"/>
        </w:numPr>
        <w:pStyle w:val="Compact"/>
      </w:pPr>
      <w:r>
        <w:t xml:space="preserve">Why is CBCT essential in ECR diagnosis and treatment planning?</w:t>
      </w:r>
    </w:p>
    <w:p>
      <w:pPr>
        <w:pStyle w:val="FirstParagraph"/>
      </w:pPr>
      <w:r>
        <w:t xml:space="preserve">Conventional two-dimensional radiography significantly underestimates ECR lesion size and extent because: (1) the cervical location and overlapping cortical bone cause radiographic superimposition; (2) the circumferential and depth dimensions of the lesion are entirely invisible on PA films; (3) proximity to the pulp canal (the "p" vs. "d" distinction) cannot be reliably determined without cross-sectional imaging. CBCT provides axial, coronal, and sagittal slices that precisely map all three dimensions — height, circumferential spread, and canal proximity — enabling application of the Patel classification and direct surgical planning. CBCT determines whether the lesion is accessible via a standard buccal flap, requires a palatal/lingual approach, mandates orthodontic extrusion to gain access, or is inaccessible and better managed with intentional replantation. It also identifies cases where the lesion is "p" class (probable pulpal involvement), mandating root canal treatment as part of the repair. The ESE and AAE/AAOMR joint position statement both advise that CBCT should be considered for assessment and management of root resorption when the lesion appears clinically amenable to treatment following conventional examination. Under-treatment due to misclassification on 2D radiographs is a documented cause of ECR treatment failure. {{cite: Patel et al. 2018 — CBCT maps all three ECR dimensions; ESE/AAE-AAOMR recommend CBCT for amenable resorption cases}}</w:t>
      </w:r>
    </w:p>
    <w:p>
      <w:pPr>
        <w:numPr>
          <w:ilvl w:val="0"/>
          <w:numId w:val="1216"/>
        </w:numPr>
        <w:pStyle w:val="Compact"/>
      </w:pPr>
      <w:r>
        <w:t xml:space="preserve">What clinical signs differentiate ECR from caries, internal resorption, or a developmental defect?</w:t>
      </w:r>
    </w:p>
    <w:p>
      <w:pPr>
        <w:pStyle w:val="FirstParagraph"/>
      </w:pPr>
      <w:r>
        <w:t xml:space="preserve">ECR has several distinguishing clinical features. The classic presentation is a</w:t>
      </w:r>
      <w:r>
        <w:t xml:space="preserve"> </w:t>
      </w:r>
      <w:r>
        <w:rPr>
          <w:bCs/>
          <w:b/>
        </w:rPr>
        <w:t xml:space="preserve">"pink spot"</w:t>
      </w:r>
      <w:r>
        <w:t xml:space="preserve"> </w:t>
      </w:r>
      <w:r>
        <w:t xml:space="preserve">visible through the enamel — a pink-red coronal discoloration caused by fibrovascular resorptive tissue visible through an intact but undermined enamel shell; this is also seen in IRR but occurs at a different location (mid-crown in IRR vs. cervical in ECR). Unlike caries, ECR lesions are not preceded by a carious process and typically show no cavitation until late, and the overlying enamel may remain sound while the underlying dentin is heavily resorbed. On probing, the clinician may detect an irregular cavitation at the cervical margin if the enamel shell has fractured. ECR lesions are frequently</w:t>
      </w:r>
      <w:r>
        <w:t xml:space="preserve"> </w:t>
      </w:r>
      <w:r>
        <w:rPr>
          <w:bCs/>
          <w:b/>
        </w:rPr>
        <w:t xml:space="preserve">asymptomatic</w:t>
      </w:r>
      <w:r>
        <w:t xml:space="preserve"> </w:t>
      </w:r>
      <w:r>
        <w:t xml:space="preserve">because the predentin/pulpal complex is protected until late disease — this is a critical distinguishing feature from deep caries or symptomatic IRR. Pulp testing typically reveals a</w:t>
      </w:r>
      <w:r>
        <w:t xml:space="preserve"> </w:t>
      </w:r>
      <w:r>
        <w:rPr>
          <w:bCs/>
          <w:b/>
        </w:rPr>
        <w:t xml:space="preserve">vital response</w:t>
      </w:r>
      <w:r>
        <w:t xml:space="preserve"> </w:t>
      </w:r>
      <w:r>
        <w:t xml:space="preserve">in ECR (supporting the intact pulp), whereas IRR is associated with pulp necrosis in advanced stages. Developmental defects (e.g., dens invaginatus, cervical enamel projections) are identified by their symmetric morphology and history (absent trauma/orthodontics); they are present from tooth eruption rather than developing over time. ECR tends to occur in adults (most commonly 21–40 years) rather than children, and is associated with a history of orthodontic treatment, trauma, or bleaching. {{cite: Heithersay 1999 — Pink spot is classic early sign; pulp typically vital; lesion often asymptomatic until advanced}}</w:t>
      </w:r>
    </w:p>
    <w:p>
      <w:pPr>
        <w:numPr>
          <w:ilvl w:val="0"/>
          <w:numId w:val="1217"/>
        </w:numPr>
        <w:pStyle w:val="Compact"/>
      </w:pPr>
      <w:r>
        <w:t xml:space="preserve">When is ECR treatable vs. an extraction indication?</w:t>
      </w:r>
    </w:p>
    <w:p>
      <w:pPr>
        <w:pStyle w:val="FirstParagraph"/>
      </w:pPr>
      <w:r>
        <w:t xml:space="preserve">Treatability is primarily determined by (1) lesion extent (Heithersay or Patel class), (2) surgical accessibility, (3) remaining tooth structure for restoration, and (4) periodontal support.</w:t>
      </w:r>
      <w:r>
        <w:t xml:space="preserve"> </w:t>
      </w:r>
      <w:r>
        <w:rPr>
          <w:bCs/>
          <w:b/>
        </w:rPr>
        <w:t xml:space="preserve">Heithersay Class 1 and 2</w:t>
      </w:r>
      <w:r>
        <w:t xml:space="preserve"> </w:t>
      </w:r>
      <w:r>
        <w:t xml:space="preserve">lesions are reliably treatable with surgical access, TCA, curettage, and restoration with very high success rates (100% in Heithersay's series).</w:t>
      </w:r>
      <w:r>
        <w:t xml:space="preserve"> </w:t>
      </w:r>
      <w:r>
        <w:rPr>
          <w:bCs/>
          <w:b/>
        </w:rPr>
        <w:t xml:space="preserve">Class 3</w:t>
      </w:r>
      <w:r>
        <w:t xml:space="preserve"> </w:t>
      </w:r>
      <w:r>
        <w:t xml:space="preserve">lesions are treatable but require careful case selection;</w:t>
      </w:r>
      <w:r>
        <w:t xml:space="preserve"> </w:t>
      </w:r>
      <w:r>
        <w:rPr>
          <w:bCs/>
          <w:b/>
        </w:rPr>
        <w:t xml:space="preserve">Heithersay (1999)</w:t>
      </w:r>
      <w:r>
        <w:t xml:space="preserve"> </w:t>
      </w:r>
      <w:r>
        <w:t xml:space="preserve">reported 77.8% success.</w:t>
      </w:r>
      <w:r>
        <w:t xml:space="preserve"> </w:t>
      </w:r>
      <w:r>
        <w:rPr>
          <w:bCs/>
          <w:b/>
        </w:rPr>
        <w:t xml:space="preserve">Class 4</w:t>
      </w:r>
      <w:r>
        <w:t xml:space="preserve"> </w:t>
      </w:r>
      <w:r>
        <w:t xml:space="preserve">lesions (extending beyond the coronal third of the root) have a reported success rate of only 12.5% and are generally considered extraction indications unless intentional replantation with extraoral repair is feasible. Using the Patel classification, lesions with circumferential spread D (&gt;270°) and/or height 3–4 with pulpal involvement ("p") represent the highest difficulty tier and often extraction. Beyond classification, additional extraction factors include: inability to achieve a restorable result post-debridement, inadequate alveolar bone support, active periodontal disease, lack of patient compliance with complex staged treatment, and proximity to vital structures that prevents safe surgery. When tooth-saving is desired for strategic reasons in high-difficulty cases, intentional replantation should be evaluated before condemning the tooth. {{cite: Heithersay 1999 — Class 1/2: 100% success; Class 3: 77.8%; Class 4: 12.5%; Class 4 generally extraction indication}}</w:t>
      </w:r>
    </w:p>
    <w:p>
      <w:pPr>
        <w:numPr>
          <w:ilvl w:val="0"/>
          <w:numId w:val="1218"/>
        </w:numPr>
        <w:pStyle w:val="Compact"/>
      </w:pPr>
      <w:r>
        <w:t xml:space="preserve">Does ECR require root canal treatment, and under what circumstances?</w:t>
      </w:r>
    </w:p>
    <w:p>
      <w:pPr>
        <w:pStyle w:val="FirstParagraph"/>
      </w:pPr>
      <w:r>
        <w:t xml:space="preserve">Root canal treatment is NOT automatically required for ECR because the pulp is characteristically protected by an intact layer of predentin until late in the disease process.</w:t>
      </w:r>
      <w:r>
        <w:t xml:space="preserve"> </w:t>
      </w:r>
      <w:r>
        <w:rPr>
          <w:bCs/>
          <w:b/>
        </w:rPr>
        <w:t xml:space="preserve">Heithersay (1999)</w:t>
      </w:r>
      <w:r>
        <w:t xml:space="preserve"> </w:t>
      </w:r>
      <w:r>
        <w:t xml:space="preserve">explicitly noted that nonsurgical root canal treatment was performed "where necessary" — not routinely — in his 101-tooth series, and many teeth were successfully treated with local debridement and restoration alone. Root canal treatment becomes necessary in ECR under the following circumstances: (1)</w:t>
      </w:r>
      <w:r>
        <w:t xml:space="preserve"> </w:t>
      </w:r>
      <w:r>
        <w:rPr>
          <w:bCs/>
          <w:b/>
        </w:rPr>
        <w:t xml:space="preserve">Pulpal involvement</w:t>
      </w:r>
      <w:r>
        <w:t xml:space="preserve"> </w:t>
      </w:r>
      <w:r>
        <w:t xml:space="preserve">— Patel "p" class lesions, where the resorptive process has penetrated the predentin and entered the pulp space; (2)</w:t>
      </w:r>
      <w:r>
        <w:t xml:space="preserve"> </w:t>
      </w:r>
      <w:r>
        <w:rPr>
          <w:bCs/>
          <w:b/>
        </w:rPr>
        <w:t xml:space="preserve">Pulpal necrosis</w:t>
      </w:r>
      <w:r>
        <w:t xml:space="preserve"> </w:t>
      </w:r>
      <w:r>
        <w:t xml:space="preserve">— confirmed by negative pulp testing and periapical pathology; (3)</w:t>
      </w:r>
      <w:r>
        <w:t xml:space="preserve"> </w:t>
      </w:r>
      <w:r>
        <w:rPr>
          <w:bCs/>
          <w:b/>
        </w:rPr>
        <w:t xml:space="preserve">Surgical access requirement through the pulp</w:t>
      </w:r>
      <w:r>
        <w:t xml:space="preserve"> </w:t>
      </w:r>
      <w:r>
        <w:t xml:space="preserve">— in some Class 2–3 lesions requiring internal access; (4)</w:t>
      </w:r>
      <w:r>
        <w:t xml:space="preserve"> </w:t>
      </w:r>
      <w:r>
        <w:rPr>
          <w:bCs/>
          <w:b/>
        </w:rPr>
        <w:t xml:space="preserve">Intentional replantation cases</w:t>
      </w:r>
      <w:r>
        <w:t xml:space="preserve"> </w:t>
      </w:r>
      <w:r>
        <w:t xml:space="preserve">— root canal treatment is typically performed extraorally prior to replantation to control any pulpal contamination. Performing unnecessary root canal treatment in vital ECR cases removes the important buffer of vital predentin and adds procedural risk without benefit. The decision is therefore guided by pulp status assessment (cold, EPT, periapical radiographic evaluation) and CBCT determination of canal proximity. {{cite: Heithersay 1999 — RCT only where necessary; pulp typically protected by predentin in Classes 1–3}}</w:t>
      </w:r>
    </w:p>
    <w:p>
      <w:pPr>
        <w:numPr>
          <w:ilvl w:val="0"/>
          <w:numId w:val="1219"/>
        </w:numPr>
        <w:pStyle w:val="Compact"/>
      </w:pPr>
      <w:r>
        <w:t xml:space="preserve">What is the role of topical trichloroacetic acid (TCA) in ECR management?</w:t>
      </w:r>
    </w:p>
    <w:p>
      <w:pPr>
        <w:pStyle w:val="FirstParagraph"/>
      </w:pPr>
      <w:r>
        <w:t xml:space="preserve">Trichloroacetic acid (TCA) is a caustic agent that causes rapid coagulative protein denaturation, selectively destroying the fibrovascular resorptive tissue (clastic cells and granulation tissue) at the resorption front without requiring mechanical removal of every microscopic cell cluster.</w:t>
      </w:r>
      <w:r>
        <w:t xml:space="preserve"> </w:t>
      </w:r>
      <w:r>
        <w:rPr>
          <w:bCs/>
          <w:b/>
        </w:rPr>
        <w:t xml:space="preserve">Heithersay (1999, Quintessence Int, PMID 10356561)</w:t>
      </w:r>
      <w:r>
        <w:t xml:space="preserve"> </w:t>
      </w:r>
      <w:r>
        <w:t xml:space="preserve">established the standard protocol: after surgical flap elevation and gross curettage of the resorptive tissue,</w:t>
      </w:r>
      <w:r>
        <w:t xml:space="preserve"> </w:t>
      </w:r>
      <w:r>
        <w:rPr>
          <w:bCs/>
          <w:b/>
        </w:rPr>
        <w:t xml:space="preserve">90% aqueous TCA</w:t>
      </w:r>
      <w:r>
        <w:t xml:space="preserve"> </w:t>
      </w:r>
      <w:r>
        <w:t xml:space="preserve">is applied topically to the resorption cavity for approximately 1–2 minutes using a cotton pellet or microbrush. The acid chemically fixes and destroys residual clastic cells on the dentin walls that mechanical curettage alone cannot reliably eliminate. This step is considered critical to preventing recurrence, because leaving viable resorptive cells at the margins leads to continued progression even after restoration. The surrounding soft tissue and gingiva must be protected with petroleum jelly (vaseline) or glycerin before TCA application to prevent caustic injury. After TCA application, the cavity is rinsed, dried, and restored with a biocompatible restorative material. The mechanism of TCA efficacy is coagulative necrosis of the fibrovascular tissue: the acid denatures proteins and collapses the cellular architecture of the resorptive tissue, effectively "fixing" it in place and eliminating its resorptive potential. The 90% concentration is a verified parameter from Heithersay's clinical series — lower concentrations are less reliably effective. {{cite: Heithersay 1999 — 90% TCA applied topically after curettage; coagulative necrosis destroys residual clastic cells; critical step to prevent recurrence}}</w:t>
      </w:r>
    </w:p>
    <w:p>
      <w:pPr>
        <w:numPr>
          <w:ilvl w:val="0"/>
          <w:numId w:val="1220"/>
        </w:numPr>
        <w:pStyle w:val="Compact"/>
      </w:pPr>
      <w:r>
        <w:t xml:space="preserve">What is the surgical approach to ECR repair and what materials are used?</w:t>
      </w:r>
    </w:p>
    <w:p>
      <w:pPr>
        <w:pStyle w:val="FirstParagraph"/>
      </w:pPr>
      <w:r>
        <w:t xml:space="preserve">The standard surgical approach involves: (1) local anesthesia and rubber dam or surgical field isolation; (2) full-thickness mucoperiosteal flap elevation to expose the resorptive lesion fully — the flap design (buccal, palatal/lingual, or combined) is determined preoperatively using CBCT; (3) if necessary, alveolar bone removal to expose the lesion margins completely; (4) mechanical debridement using burs and/or hand curettes to remove all visible fibrovascular/resorptive tissue; (5) protection of the gingiva/surgical field with petroleum jelly; (6) topical application of</w:t>
      </w:r>
      <w:r>
        <w:t xml:space="preserve"> </w:t>
      </w:r>
      <w:r>
        <w:rPr>
          <w:bCs/>
          <w:b/>
        </w:rPr>
        <w:t xml:space="preserve">90% TCA</w:t>
      </w:r>
      <w:r>
        <w:t xml:space="preserve"> </w:t>
      </w:r>
      <w:r>
        <w:t xml:space="preserve">for 1–2 minutes to destroy residual clastic cells; (7) thorough irrigation and drying; (8) restoration of the defect; (9) flap repositioning and suturing. Root canal treatment is performed before or after flap repair depending on pulp status. For deep lesions,</w:t>
      </w:r>
      <w:r>
        <w:t xml:space="preserve"> </w:t>
      </w:r>
      <w:r>
        <w:rPr>
          <w:bCs/>
          <w:b/>
        </w:rPr>
        <w:t xml:space="preserve">orthodontic extrusion</w:t>
      </w:r>
      <w:r>
        <w:t xml:space="preserve"> </w:t>
      </w:r>
      <w:r>
        <w:t xml:space="preserve">(forced eruption) over 4–8 weeks may be used to bring a subcrestal lesion to a supracrestal position before repair, improving access and enabling a supragingival restoration margin. Restorative materials for defect repair include:</w:t>
      </w:r>
      <w:r>
        <w:t xml:space="preserve"> </w:t>
      </w:r>
      <w:r>
        <w:rPr>
          <w:bCs/>
          <w:b/>
        </w:rPr>
        <w:t xml:space="preserve">glass ionomer cement</w:t>
      </w:r>
      <w:r>
        <w:t xml:space="preserve"> </w:t>
      </w:r>
      <w:r>
        <w:t xml:space="preserve">(Heithersay's original material — biocompatible, fluoride-releasing, bonds to dentin),</w:t>
      </w:r>
      <w:r>
        <w:t xml:space="preserve"> </w:t>
      </w:r>
      <w:r>
        <w:rPr>
          <w:bCs/>
          <w:b/>
        </w:rPr>
        <w:t xml:space="preserve">Geristore</w:t>
      </w:r>
      <w:r>
        <w:t xml:space="preserve"> </w:t>
      </w:r>
      <w:r>
        <w:t xml:space="preserve">(resin-modified glass ionomer/composite with good cervical adaptation),</w:t>
      </w:r>
      <w:r>
        <w:t xml:space="preserve"> </w:t>
      </w:r>
      <w:r>
        <w:rPr>
          <w:bCs/>
          <w:b/>
        </w:rPr>
        <w:t xml:space="preserve">MTA</w:t>
      </w:r>
      <w:r>
        <w:t xml:space="preserve"> </w:t>
      </w:r>
      <w:r>
        <w:t xml:space="preserve">or</w:t>
      </w:r>
      <w:r>
        <w:t xml:space="preserve"> </w:t>
      </w:r>
      <w:r>
        <w:rPr>
          <w:bCs/>
          <w:b/>
        </w:rPr>
        <w:t xml:space="preserve">Biodentine</w:t>
      </w:r>
      <w:r>
        <w:t xml:space="preserve"> </w:t>
      </w:r>
      <w:r>
        <w:t xml:space="preserve">(bioactive calcium silicate cements preferred when the resorption is close to or involves the pulp; excellent biocompatibility and sealing ability), and composite resin (for esthetically critical anterior cases with adequate dentin remaining). Finite element analysis (</w:t>
      </w:r>
      <w:r>
        <w:rPr>
          <w:bCs/>
          <w:b/>
        </w:rPr>
        <w:t xml:space="preserve">Manaktala et al. 2024</w:t>
      </w:r>
      <w:r>
        <w:t xml:space="preserve">) found no significant difference in stress distribution between MTA and Biodentine restorations in ECR defects, supporting either material. {{cite: Heithersay 1999 — Glass ionomer restoration with TCA/curettage; 90% TCA is critical step in surgical protocol}}</w:t>
      </w:r>
    </w:p>
    <w:p>
      <w:pPr>
        <w:numPr>
          <w:ilvl w:val="0"/>
          <w:numId w:val="1221"/>
        </w:numPr>
        <w:pStyle w:val="Compact"/>
      </w:pPr>
      <w:r>
        <w:t xml:space="preserve">When is intentional replantation indicated for ECR?</w:t>
      </w:r>
    </w:p>
    <w:p>
      <w:pPr>
        <w:pStyle w:val="FirstParagraph"/>
      </w:pPr>
      <w:r>
        <w:t xml:space="preserve">Intentional replantation (IR) is indicated for ECR when the lesion is inaccessible via conventional intraoral surgical approaches — typically lesions located on the lingual, palatal, or proximal root surfaces in a subcrestal position that cannot be reached with standard flap elevation without excessive bone removal or risk to adjacent structures. Specific indications include: (1) deep subcrestal lesions (Patel height 2–3) on surfaces inaccessible via a buccal flap; (2) lesions requiring circumferential access to a degree that intraoral surgery would compromise the bony attachment of the tooth; (3) cases where orthodontic extrusion is not feasible (patient refusal, inadequate alveolar height, strategic tooth). The IR technique requires: atraumatic tooth extraction (maintaining PDL integrity on the root surface), minimizing extra-oral dry time (ideally less than 15 minutes, with the root kept in Hank's balanced salt solution, saline, or the patient's saliva), extraoral debridement and TCA application to the accessible lesion, root canal treatment if not previously completed, restoration of the defect, and replantation. The risk of subsequent ankylosis and replacement resorption increases with extra-oral time exceeding 15–30 minutes and with cementum damage.</w:t>
      </w:r>
      <w:r>
        <w:t xml:space="preserve"> </w:t>
      </w:r>
      <w:r>
        <w:rPr>
          <w:bCs/>
          <w:b/>
        </w:rPr>
        <w:t xml:space="preserve">Patel et al. (2016, Ann R Coll Surg Engl)</w:t>
      </w:r>
      <w:r>
        <w:t xml:space="preserve"> </w:t>
      </w:r>
      <w:r>
        <w:t xml:space="preserve">reported IR as a viable option for ECR not amenable to conventional surgery. Long-term outcomes require monitoring for ankylosis, which may be acceptable in adult patients. {{cite: Patel et al. 2018 — IR indicated when ECR inaccessible to conventional surgical access; minimize extra-oral dry time}}</w:t>
      </w:r>
    </w:p>
    <w:p>
      <w:pPr>
        <w:numPr>
          <w:ilvl w:val="0"/>
          <w:numId w:val="1222"/>
        </w:numPr>
        <w:pStyle w:val="Compact"/>
      </w:pPr>
      <w:r>
        <w:t xml:space="preserve">What are the evidence-based outcomes for surgically managed ECR by Heithersay class?</w:t>
      </w:r>
    </w:p>
    <w:p>
      <w:pPr>
        <w:pStyle w:val="FirstParagraph"/>
      </w:pPr>
      <w:r>
        <w:rPr>
          <w:bCs/>
          <w:b/>
        </w:rPr>
        <w:t xml:space="preserve">Heithersay (1999, Quintessence Int, PMID 10356561):</w:t>
      </w:r>
      <w:r>
        <w:t xml:space="preserve"> </w:t>
      </w:r>
      <w:r>
        <w:t xml:space="preserve">In 94 patients (101 teeth) treated with TCA/curettage/GI cement (minimum 3-year follow-up), success rates were: Class 1 —</w:t>
      </w:r>
      <w:r>
        <w:t xml:space="preserve"> </w:t>
      </w:r>
      <w:r>
        <w:rPr>
          <w:bCs/>
          <w:b/>
        </w:rPr>
        <w:t xml:space="preserve">100%</w:t>
      </w:r>
      <w:r>
        <w:t xml:space="preserve"> </w:t>
      </w:r>
      <w:r>
        <w:t xml:space="preserve">(no failures); Class 2 —</w:t>
      </w:r>
      <w:r>
        <w:t xml:space="preserve"> </w:t>
      </w:r>
      <w:r>
        <w:rPr>
          <w:bCs/>
          <w:b/>
        </w:rPr>
        <w:t xml:space="preserve">100%</w:t>
      </w:r>
      <w:r>
        <w:t xml:space="preserve">; Class 3 —</w:t>
      </w:r>
      <w:r>
        <w:t xml:space="preserve"> </w:t>
      </w:r>
      <w:r>
        <w:rPr>
          <w:bCs/>
          <w:b/>
        </w:rPr>
        <w:t xml:space="preserve">77.8%</w:t>
      </w:r>
      <w:r>
        <w:t xml:space="preserve">; Class 4 —</w:t>
      </w:r>
      <w:r>
        <w:t xml:space="preserve"> </w:t>
      </w:r>
      <w:r>
        <w:rPr>
          <w:bCs/>
          <w:b/>
        </w:rPr>
        <w:t xml:space="preserve">12.5%</w:t>
      </w:r>
      <w:r>
        <w:t xml:space="preserve">. Success was defined as absence of resorption and absence of periapical or periradicular pathosis.</w:t>
      </w:r>
      <w:r>
        <w:t xml:space="preserve"> </w:t>
      </w:r>
      <w:r>
        <w:rPr>
          <w:bCs/>
          <w:b/>
        </w:rPr>
        <w:t xml:space="preserve">Jebril et al. (J Endod 2020, PMID 32334857)</w:t>
      </w:r>
      <w:r>
        <w:t xml:space="preserve"> </w:t>
      </w:r>
      <w:r>
        <w:t xml:space="preserve">reported 100% survival (tooth retention) and 79% clinical success in 14 surgically managed ECR teeth (mean follow-up 20 months) in a UK teaching hospital, with failure cases being non-compliant patients or higher Heithersay class. A systematic review by</w:t>
      </w:r>
      <w:r>
        <w:t xml:space="preserve"> </w:t>
      </w:r>
      <w:r>
        <w:rPr>
          <w:bCs/>
          <w:b/>
        </w:rPr>
        <w:t xml:space="preserve">Bardini et al. (Aust Endod J 2023)</w:t>
      </w:r>
      <w:r>
        <w:t xml:space="preserve"> </w:t>
      </w:r>
      <w:r>
        <w:t xml:space="preserve">found that 99% of cases across the literature reported a favorable outcome at minimum 12-month follow-up, though heterogeneity of case selection and outcome definitions limits interpretation. No specific restorative material demonstrated superior outcome. Higher Heithersay class and posterior tooth location were consistently identified as negative prognostic factors. The evidence supports that ECR managed at an early stage (Class 1–2) has outcomes equivalent to other minor endodontic complications, while late-stage disease (Class 3–4) carries meaningfully worse prognosis. {{cite: Heithersay 1999 — Class 1 and 2: 100% success; Class 3: 77.8%; Class 4: 12.5% over minimum 3-year follow-up in 101 teeth}}</w:t>
      </w:r>
    </w:p>
    <w:p>
      <w:pPr>
        <w:numPr>
          <w:ilvl w:val="0"/>
          <w:numId w:val="1223"/>
        </w:numPr>
        <w:pStyle w:val="Compact"/>
      </w:pPr>
      <w:r>
        <w:t xml:space="preserve">What factors predict ECR progression and treatment failure?</w:t>
      </w:r>
    </w:p>
    <w:p>
      <w:pPr>
        <w:pStyle w:val="FirstParagraph"/>
      </w:pPr>
      <w:r>
        <w:t xml:space="preserve">Factors predicting progression and treatment failure in ECR include: (1)</w:t>
      </w:r>
      <w:r>
        <w:t xml:space="preserve"> </w:t>
      </w:r>
      <w:r>
        <w:rPr>
          <w:bCs/>
          <w:b/>
        </w:rPr>
        <w:t xml:space="preserve">High Heithersay class at presentation</w:t>
      </w:r>
      <w:r>
        <w:t xml:space="preserve"> </w:t>
      </w:r>
      <w:r>
        <w:t xml:space="preserve">— Class 3–4 lesions have substantially worse outcomes; (2)</w:t>
      </w:r>
      <w:r>
        <w:t xml:space="preserve"> </w:t>
      </w:r>
      <w:r>
        <w:rPr>
          <w:bCs/>
          <w:b/>
        </w:rPr>
        <w:t xml:space="preserve">Large circumferential extent</w:t>
      </w:r>
      <w:r>
        <w:t xml:space="preserve"> </w:t>
      </w:r>
      <w:r>
        <w:t xml:space="preserve">(Patel C or D; &gt;180° involvement) — prevents complete surgical access and restoration; (3)</w:t>
      </w:r>
      <w:r>
        <w:t xml:space="preserve"> </w:t>
      </w:r>
      <w:r>
        <w:rPr>
          <w:bCs/>
          <w:b/>
        </w:rPr>
        <w:t xml:space="preserve">Pulpal involvement</w:t>
      </w:r>
      <w:r>
        <w:t xml:space="preserve"> </w:t>
      </w:r>
      <w:r>
        <w:t xml:space="preserve">(Patel "p") — increases biological complexity and requires root canal treatment; (4)</w:t>
      </w:r>
      <w:r>
        <w:t xml:space="preserve"> </w:t>
      </w:r>
      <w:r>
        <w:rPr>
          <w:bCs/>
          <w:b/>
        </w:rPr>
        <w:t xml:space="preserve">Posterior tooth location</w:t>
      </w:r>
      <w:r>
        <w:t xml:space="preserve"> </w:t>
      </w:r>
      <w:r>
        <w:t xml:space="preserve">— reduced surgical accessibility compared to anterior teeth; (5)</w:t>
      </w:r>
      <w:r>
        <w:t xml:space="preserve"> </w:t>
      </w:r>
      <w:r>
        <w:rPr>
          <w:bCs/>
          <w:b/>
        </w:rPr>
        <w:t xml:space="preserve">Incomplete debridement</w:t>
      </w:r>
      <w:r>
        <w:t xml:space="preserve"> </w:t>
      </w:r>
      <w:r>
        <w:t xml:space="preserve">— failure to remove all fibrovascular tissue and apply TCA allows recurrence from residual clastic cells; (6)</w:t>
      </w:r>
      <w:r>
        <w:t xml:space="preserve"> </w:t>
      </w:r>
      <w:r>
        <w:rPr>
          <w:bCs/>
          <w:b/>
        </w:rPr>
        <w:t xml:space="preserve">Poor marginal seal of the restoration</w:t>
      </w:r>
      <w:r>
        <w:t xml:space="preserve"> </w:t>
      </w:r>
      <w:r>
        <w:t xml:space="preserve">— gap at the restoration-dentin interface allows continued bacterial ingress and resorption cell re-recruitment; (7)</w:t>
      </w:r>
      <w:r>
        <w:t xml:space="preserve"> </w:t>
      </w:r>
      <w:r>
        <w:rPr>
          <w:bCs/>
          <w:b/>
        </w:rPr>
        <w:t xml:space="preserve">Ongoing predisposing factors</w:t>
      </w:r>
      <w:r>
        <w:t xml:space="preserve"> </w:t>
      </w:r>
      <w:r>
        <w:t xml:space="preserve">— active orthodontic treatment, repeated bleaching, or periodontal inflammation adjacent to the lesion; (8)</w:t>
      </w:r>
      <w:r>
        <w:t xml:space="preserve"> </w:t>
      </w:r>
      <w:r>
        <w:rPr>
          <w:bCs/>
          <w:b/>
        </w:rPr>
        <w:t xml:space="preserve">Delayed diagnosis</w:t>
      </w:r>
      <w:r>
        <w:t xml:space="preserve"> </w:t>
      </w:r>
      <w:r>
        <w:t xml:space="preserve">— ECR is often asymptomatic and detected late; earlier detection at smaller lesion size directly improves prognosis; (9)</w:t>
      </w:r>
      <w:r>
        <w:t xml:space="preserve"> </w:t>
      </w:r>
      <w:r>
        <w:rPr>
          <w:bCs/>
          <w:b/>
        </w:rPr>
        <w:t xml:space="preserve">Patient non-compliance</w:t>
      </w:r>
      <w:r>
        <w:t xml:space="preserve"> </w:t>
      </w:r>
      <w:r>
        <w:t xml:space="preserve">— missed follow-up allows undetected progression.</w:t>
      </w:r>
      <w:r>
        <w:t xml:space="preserve"> </w:t>
      </w:r>
      <w:r>
        <w:rPr>
          <w:bCs/>
          <w:b/>
        </w:rPr>
        <w:t xml:space="preserve">Heithersay (1999)</w:t>
      </w:r>
      <w:r>
        <w:t xml:space="preserve"> </w:t>
      </w:r>
      <w:r>
        <w:t xml:space="preserve">specifically noted that early diagnosis is "highly desirable" and that patients with known risk factors (history of orthodontics, trauma, bleaching) should be monitored radiographically throughout life. The multifactorial etiology means that a single resolved episode does not eliminate future risk in a susceptible patient. {{cite: Heithersay 1999 — Lesion class, location, completeness of debridement, and early detection are primary prognostic determinants}}</w:t>
      </w:r>
    </w:p>
    <w:p>
      <w:pPr>
        <w:numPr>
          <w:ilvl w:val="0"/>
          <w:numId w:val="1224"/>
        </w:numPr>
        <w:pStyle w:val="Compact"/>
      </w:pPr>
      <w:r>
        <w:t xml:space="preserve">What is the recommended follow-up protocol after ECR treatment?</w:t>
      </w:r>
    </w:p>
    <w:p>
      <w:pPr>
        <w:pStyle w:val="FirstParagraph"/>
      </w:pPr>
      <w:r>
        <w:t xml:space="preserve">After ECR treatment, follow-up should be clinical and radiographic, with the primary goals of confirming arrest of resorption, restoration integrity, pulpal/periapical health, and periodontal healing at the surgical site.</w:t>
      </w:r>
      <w:r>
        <w:t xml:space="preserve"> </w:t>
      </w:r>
      <w:r>
        <w:rPr>
          <w:bCs/>
          <w:b/>
        </w:rPr>
        <w:t xml:space="preserve">Recommended protocol:</w:t>
      </w:r>
      <w:r>
        <w:t xml:space="preserve"> </w:t>
      </w:r>
      <w:r>
        <w:t xml:space="preserve">(1)</w:t>
      </w:r>
      <w:r>
        <w:t xml:space="preserve"> </w:t>
      </w:r>
      <w:r>
        <w:rPr>
          <w:bCs/>
          <w:b/>
        </w:rPr>
        <w:t xml:space="preserve">Short-term</w:t>
      </w:r>
      <w:r>
        <w:t xml:space="preserve"> </w:t>
      </w:r>
      <w:r>
        <w:t xml:space="preserve">(6–8 weeks): clinical review for surgical site healing, suture removal if applicable, and initial assessment of periodontal tissue response; (2)</w:t>
      </w:r>
      <w:r>
        <w:t xml:space="preserve"> </w:t>
      </w:r>
      <w:r>
        <w:rPr>
          <w:bCs/>
          <w:b/>
        </w:rPr>
        <w:t xml:space="preserve">Intermediate</w:t>
      </w:r>
      <w:r>
        <w:t xml:space="preserve"> </w:t>
      </w:r>
      <w:r>
        <w:t xml:space="preserve">(6 months): periapical radiograph to assess lesion arrest and restoration margins; pulp testing if root canal treatment was not performed to confirm continued pulp vitality; (3)</w:t>
      </w:r>
      <w:r>
        <w:t xml:space="preserve"> </w:t>
      </w:r>
      <w:r>
        <w:rPr>
          <w:bCs/>
          <w:b/>
        </w:rPr>
        <w:t xml:space="preserve">1 year</w:t>
      </w:r>
      <w:r>
        <w:t xml:space="preserve">: periapical radiograph and clinical examination — the minimum follow-up used in most outcome studies; CBCT may be repeated at 1 year for high-class (3+) lesions to confirm three-dimensional arrest; (4)</w:t>
      </w:r>
      <w:r>
        <w:t xml:space="preserve"> </w:t>
      </w:r>
      <w:r>
        <w:rPr>
          <w:bCs/>
          <w:b/>
        </w:rPr>
        <w:t xml:space="preserve">Long-term</w:t>
      </w:r>
      <w:r>
        <w:t xml:space="preserve"> </w:t>
      </w:r>
      <w:r>
        <w:t xml:space="preserve">(annually for at least 4 years): continued monitoring is required because ECR can recur if residual clastic cells persist or if the restorative seal fails.</w:t>
      </w:r>
      <w:r>
        <w:t xml:space="preserve"> </w:t>
      </w:r>
      <w:r>
        <w:rPr>
          <w:bCs/>
          <w:b/>
        </w:rPr>
        <w:t xml:space="preserve">Heithersay (1999)</w:t>
      </w:r>
      <w:r>
        <w:t xml:space="preserve"> </w:t>
      </w:r>
      <w:r>
        <w:t xml:space="preserve">required a minimum 3-year follow-up to define success, and specifically recommended that patients with risk factors (history of orthodontics, trauma, bleaching) be "monitored radiographically at intervals throughout life." For teeth treated with intentional replantation, earlier and more frequent monitoring (3, 6, 12, 24 months) is recommended to detect early ankylosis or replacement resorption. Failure to follow up is a documented cause of recurrence and late tooth loss in ECR cases. {{cite: Heithersay 1999 — Minimum 3-year follow-up to define success; lifelong radiographic monitoring recommended for at-risk patients}}</w:t>
      </w:r>
    </w:p>
    <w:bookmarkEnd w:id="81"/>
    <w:bookmarkEnd w:id="82"/>
    <w:bookmarkStart w:id="90" w:name="X5a8344a3e6e2e1daa2e864a3728bef1d87b39db"/>
    <w:p>
      <w:pPr>
        <w:pStyle w:val="Heading1"/>
      </w:pPr>
      <w:r>
        <w:t xml:space="preserve">10. Surgical Endodontics</w:t>
      </w:r>
    </w:p>
    <w:bookmarkStart w:id="83" w:name="Xfe80e61b7b9526faef0678d1c8d23e0ef24cd0f"/>
    <w:p>
      <w:pPr>
        <w:pStyle w:val="Heading2"/>
      </w:pPr>
      <w:r>
        <w:t xml:space="preserve">10.1 Case Selection Criteria</w:t>
      </w:r>
    </w:p>
    <w:p>
      <w:pPr>
        <w:numPr>
          <w:ilvl w:val="0"/>
          <w:numId w:val="1225"/>
        </w:numPr>
        <w:pStyle w:val="Compact"/>
      </w:pPr>
      <w:r>
        <w:t xml:space="preserve">What are the indications for apical surgery?</w:t>
      </w:r>
    </w:p>
    <w:p>
      <w:pPr>
        <w:pStyle w:val="FirstParagraph"/>
      </w:pPr>
      <w:r>
        <w:t xml:space="preserve">Apical surgery is indicated for post-treatment disease that persists after non-surgical retreatment, for cases where non-surgical retreatment is not feasible (e.g., intact crown with well-seated post), and for obtaining biopsy when non-odontogenic pathology is suspected.</w:t>
      </w:r>
    </w:p>
    <w:p>
      <w:pPr>
        <w:numPr>
          <w:ilvl w:val="0"/>
          <w:numId w:val="1226"/>
        </w:numPr>
        <w:pStyle w:val="Compact"/>
      </w:pPr>
      <w:r>
        <w:t xml:space="preserve">What are the contraindications (local and systemic)?</w:t>
      </w:r>
    </w:p>
    <w:p>
      <w:pPr>
        <w:pStyle w:val="FirstParagraph"/>
      </w:pPr>
      <w:r>
        <w:t xml:space="preserve">Local contraindications include inadequate surgical access, proximity to vital anatomical structures that cannot be safely navigated, and hopeless restorability. Systemic contraindications include uncontrolled bleeding disorders, recent myocardial infarction, active chemotherapy or radiation to the surgical field, and bisphosphonate-associated risk of osteonecrosis.</w:t>
      </w:r>
    </w:p>
    <w:p>
      <w:pPr>
        <w:numPr>
          <w:ilvl w:val="0"/>
          <w:numId w:val="1227"/>
        </w:numPr>
        <w:pStyle w:val="Compact"/>
      </w:pPr>
      <w:r>
        <w:t xml:space="preserve">How do you assess surgical access and anatomical considerations?</w:t>
      </w:r>
    </w:p>
    <w:p>
      <w:pPr>
        <w:pStyle w:val="FirstParagraph"/>
      </w:pPr>
      <w:r>
        <w:t xml:space="preserve">CBCT is the imaging modality of choice for pre-surgical planning. It identifies critical anatomy including root position, cortical plate thickness, and proximity to neurovascular structures and the maxillary sinus. Pagin et al. found that 14% of maxillary molar roots perforate the maxillary sinus floor.</w:t>
      </w:r>
    </w:p>
    <w:p>
      <w:pPr>
        <w:numPr>
          <w:ilvl w:val="0"/>
          <w:numId w:val="1228"/>
        </w:numPr>
        <w:pStyle w:val="Compact"/>
      </w:pPr>
      <w:r>
        <w:t xml:space="preserve">Do oroantral communications affect the outcome of apical surgery?</w:t>
      </w:r>
    </w:p>
    <w:p>
      <w:pPr>
        <w:pStyle w:val="FirstParagraph"/>
      </w:pPr>
      <w:r>
        <w:t xml:space="preserve">No — Ericson found that oroantral communications during apical surgery do not adversely affect surgical outcomes provided the site is managed appropriately.</w:t>
      </w:r>
    </w:p>
    <w:p>
      <w:pPr>
        <w:numPr>
          <w:ilvl w:val="0"/>
          <w:numId w:val="1229"/>
        </w:numPr>
        <w:pStyle w:val="Compact"/>
      </w:pPr>
      <w:r>
        <w:t xml:space="preserve">What anatomical features should be considered for mandibular surgery?</w:t>
      </w:r>
    </w:p>
    <w:p>
      <w:pPr>
        <w:numPr>
          <w:ilvl w:val="0"/>
          <w:numId w:val="1230"/>
        </w:numPr>
      </w:pPr>
      <w:r>
        <w:t xml:space="preserve">Proximity to IAN</w:t>
      </w:r>
    </w:p>
    <w:p>
      <w:pPr>
        <w:numPr>
          <w:ilvl w:val="0"/>
          <w:numId w:val="1230"/>
        </w:numPr>
      </w:pPr>
      <w:r>
        <w:t xml:space="preserve">Proximity to mental foramen (56% between premolars, 25.7% inferior to the second premolar)</w:t>
      </w:r>
    </w:p>
    <w:p>
      <w:pPr>
        <w:numPr>
          <w:ilvl w:val="0"/>
          <w:numId w:val="1230"/>
        </w:numPr>
      </w:pPr>
      <w:r>
        <w:t xml:space="preserve">Anterior loop of mental foramen</w:t>
      </w:r>
    </w:p>
    <w:p>
      <w:pPr>
        <w:numPr>
          <w:ilvl w:val="0"/>
          <w:numId w:val="1230"/>
        </w:numPr>
      </w:pPr>
      <w:r>
        <w:t xml:space="preserve">Accessory mental foramina (7% of patients, Naitoh)</w:t>
      </w:r>
    </w:p>
    <w:p>
      <w:pPr>
        <w:numPr>
          <w:ilvl w:val="0"/>
          <w:numId w:val="1230"/>
        </w:numPr>
      </w:pPr>
      <w:r>
        <w:t xml:space="preserve">Position of roots relative to cortical plates</w:t>
      </w:r>
    </w:p>
    <w:p>
      <w:pPr>
        <w:numPr>
          <w:ilvl w:val="0"/>
          <w:numId w:val="1231"/>
        </w:numPr>
        <w:pStyle w:val="Compact"/>
      </w:pPr>
      <w:r>
        <w:t xml:space="preserve">How do you avoid the mental foramen?</w:t>
      </w:r>
    </w:p>
    <w:p>
      <w:pPr>
        <w:pStyle w:val="FirstParagraph"/>
      </w:pPr>
      <w:r>
        <w:t xml:space="preserve">Triangle flap with distal vertical incision, grove for retractor (Moiseiwitsch)</w:t>
      </w:r>
    </w:p>
    <w:p>
      <w:pPr>
        <w:numPr>
          <w:ilvl w:val="0"/>
          <w:numId w:val="1232"/>
        </w:numPr>
        <w:pStyle w:val="Compact"/>
      </w:pPr>
      <w:r>
        <w:t xml:space="preserve">What is the success rate of modern EMS compared to traditional techniques?</w:t>
      </w:r>
    </w:p>
    <w:p>
      <w:pPr>
        <w:pStyle w:val="FirstParagraph"/>
      </w:pPr>
      <w:r>
        <w:t xml:space="preserve">Modern techniques: 94%, Traditional techniques: 59% (Setzer).</w:t>
      </w:r>
    </w:p>
    <w:p>
      <w:pPr>
        <w:numPr>
          <w:ilvl w:val="0"/>
          <w:numId w:val="1233"/>
        </w:numPr>
        <w:pStyle w:val="Compact"/>
      </w:pPr>
      <w:r>
        <w:t xml:space="preserve">What percentage of periapical lesions are scars?</w:t>
      </w:r>
    </w:p>
    <w:p>
      <w:pPr>
        <w:pStyle w:val="FirstParagraph"/>
      </w:pPr>
      <w:r>
        <w:t xml:space="preserve">25.7% of periapical lesions are scars - this should be considered when evaluating a patient for surgery (Carrillo).</w:t>
      </w:r>
    </w:p>
    <w:p>
      <w:pPr>
        <w:numPr>
          <w:ilvl w:val="0"/>
          <w:numId w:val="1234"/>
        </w:numPr>
        <w:pStyle w:val="Compact"/>
      </w:pPr>
      <w:r>
        <w:t xml:space="preserve">How long should one wait before removing sutures?</w:t>
      </w:r>
    </w:p>
    <w:p>
      <w:pPr>
        <w:pStyle w:val="FirstParagraph"/>
      </w:pPr>
      <w:r>
        <w:t xml:space="preserve">Hiatt reported that wound stability is 10× greater at 2 weeks compared to earlier removal. Velvart and Peters recommended suture removal at 48–96 hours in modern microsurgical technique, when monofilament sutures are used and early healing is already advanced.</w:t>
      </w:r>
    </w:p>
    <w:p>
      <w:pPr>
        <w:numPr>
          <w:ilvl w:val="0"/>
          <w:numId w:val="1235"/>
        </w:numPr>
        <w:pStyle w:val="Compact"/>
      </w:pPr>
      <w:r>
        <w:t xml:space="preserve">Should aspirin be stopped prior to surgery?</w:t>
      </w:r>
    </w:p>
    <w:p>
      <w:pPr>
        <w:pStyle w:val="FirstParagraph"/>
      </w:pPr>
      <w:r>
        <w:t xml:space="preserve">No. A meta-analysis of 10 studies by Zhao found no clinically significant increase in bleeding with continued aspirin use during dental and periapical surgery, and stopping aspirin exposes patients to unnecessary thromboembolic risk.</w:t>
      </w:r>
    </w:p>
    <w:bookmarkEnd w:id="83"/>
    <w:bookmarkStart w:id="84" w:name="Xcff0dc36f661c06062a07e4c7f217b33b663e1f"/>
    <w:p>
      <w:pPr>
        <w:pStyle w:val="Heading2"/>
      </w:pPr>
      <w:r>
        <w:t xml:space="preserve">10.2 Flap Design Selection</w:t>
      </w:r>
    </w:p>
    <w:p>
      <w:pPr>
        <w:numPr>
          <w:ilvl w:val="0"/>
          <w:numId w:val="1236"/>
        </w:numPr>
        <w:pStyle w:val="Compact"/>
      </w:pPr>
      <w:r>
        <w:t xml:space="preserve">What are the principles of surgical flap design in endodontic surgery?</w:t>
      </w:r>
    </w:p>
    <w:p>
      <w:pPr>
        <w:pStyle w:val="FirstParagraph"/>
      </w:pPr>
      <w:r>
        <w:t xml:space="preserve">A well-designed flap provides adequate access to the surgical site while preserving blood supply, protecting esthetics, and enabling tension-free closure. Key principles include incisions over sound bone, wide-based flaps for adequate vascularization, preservation of marginal and papillary gingiva when possible, and vertical releasing incisions placed at line angles rather than over root eminences.</w:t>
      </w:r>
    </w:p>
    <w:p>
      <w:pPr>
        <w:numPr>
          <w:ilvl w:val="0"/>
          <w:numId w:val="1237"/>
        </w:numPr>
        <w:pStyle w:val="Compact"/>
      </w:pPr>
      <w:r>
        <w:t xml:space="preserve">How do different flap designs (submarginal, sulcular, papilla-based) compare?</w:t>
      </w:r>
    </w:p>
    <w:p>
      <w:pPr>
        <w:pStyle w:val="FirstParagraph"/>
      </w:pPr>
      <w:r>
        <w:t xml:space="preserve">The</w:t>
      </w:r>
      <w:r>
        <w:t xml:space="preserve"> </w:t>
      </w:r>
      <w:r>
        <w:rPr>
          <w:bCs/>
          <w:b/>
        </w:rPr>
        <w:t xml:space="preserve">sulcular (full-thickness)</w:t>
      </w:r>
      <w:r>
        <w:t xml:space="preserve"> </w:t>
      </w:r>
      <w:r>
        <w:t xml:space="preserve">flap provides maximum access and visibility but carries a higher risk of papillary recession and gingival scarring. The</w:t>
      </w:r>
      <w:r>
        <w:t xml:space="preserve"> </w:t>
      </w:r>
      <w:r>
        <w:rPr>
          <w:bCs/>
          <w:b/>
        </w:rPr>
        <w:t xml:space="preserve">submarginal (Luebke-Ochsenbein)</w:t>
      </w:r>
      <w:r>
        <w:t xml:space="preserve"> </w:t>
      </w:r>
      <w:r>
        <w:t xml:space="preserve">flap preserves the marginal gingiva and is preferred in esthetic zones with adequate attached gingiva, but it can leave a visible scar. The</w:t>
      </w:r>
      <w:r>
        <w:t xml:space="preserve"> </w:t>
      </w:r>
      <w:r>
        <w:rPr>
          <w:bCs/>
          <w:b/>
        </w:rPr>
        <w:t xml:space="preserve">papilla-based incision</w:t>
      </w:r>
      <w:r>
        <w:t xml:space="preserve"> </w:t>
      </w:r>
      <w:r>
        <w:t xml:space="preserve">(Velvart) preserves the interdental papilla and minimizes papillary recession, making it the preferred choice in anterior esthetic cases.</w:t>
      </w:r>
    </w:p>
    <w:p>
      <w:pPr>
        <w:numPr>
          <w:ilvl w:val="0"/>
          <w:numId w:val="1238"/>
        </w:numPr>
        <w:pStyle w:val="Compact"/>
      </w:pPr>
      <w:r>
        <w:t xml:space="preserve">What factors determine flap selection (esthetics, recession risk, access)?</w:t>
      </w:r>
    </w:p>
    <w:p>
      <w:pPr>
        <w:pStyle w:val="FirstParagraph"/>
      </w:pPr>
      <w:r>
        <w:t xml:space="preserve">Flap selection is driven by esthetic demands, the height of attached gingiva, crown margins and restorations in the surgical field, and the extent of access required for the osteotomy and root-end procedures.</w:t>
      </w:r>
    </w:p>
    <w:p>
      <w:pPr>
        <w:numPr>
          <w:ilvl w:val="0"/>
          <w:numId w:val="1239"/>
        </w:numPr>
        <w:pStyle w:val="Compact"/>
      </w:pPr>
      <w:r>
        <w:t xml:space="preserve">Why would you use 1:50,000 epinephrine anesthetic during surgery?</w:t>
      </w:r>
    </w:p>
    <w:p>
      <w:pPr>
        <w:pStyle w:val="FirstParagraph"/>
      </w:pPr>
      <w:r>
        <w:t xml:space="preserve">A 1:50,000 epinephrine concentration roughly halves intra-operative blood loss compared with 1:100,000, improving visibility in the surgical field (Buckley et al.).</w:t>
      </w:r>
    </w:p>
    <w:p>
      <w:pPr>
        <w:numPr>
          <w:ilvl w:val="0"/>
          <w:numId w:val="1240"/>
        </w:numPr>
        <w:pStyle w:val="Compact"/>
      </w:pPr>
      <w:r>
        <w:t xml:space="preserve">What sutures should be used?</w:t>
      </w:r>
    </w:p>
    <w:p>
      <w:pPr>
        <w:pStyle w:val="FirstParagraph"/>
      </w:pPr>
      <w:r>
        <w:t xml:space="preserve">Thin, monofilament, synthetic sutures (e.g., 6-0 polypropylene) are preferred because they minimize bacterial wicking and inflammatory tissue reaction (Velvart and Peters).</w:t>
      </w:r>
    </w:p>
    <w:bookmarkEnd w:id="84"/>
    <w:bookmarkStart w:id="85" w:name="X49243fec147d144db95bf610207f81b45089520"/>
    <w:p>
      <w:pPr>
        <w:pStyle w:val="Heading2"/>
      </w:pPr>
      <w:r>
        <w:t xml:space="preserve">10.3 Osteotomy Technique</w:t>
      </w:r>
    </w:p>
    <w:p>
      <w:pPr>
        <w:numPr>
          <w:ilvl w:val="0"/>
          <w:numId w:val="1241"/>
        </w:numPr>
        <w:pStyle w:val="Compact"/>
      </w:pPr>
      <w:r>
        <w:t xml:space="preserve">What size osteotomy provides adequate access while preserving bone?</w:t>
      </w:r>
    </w:p>
    <w:p>
      <w:pPr>
        <w:pStyle w:val="FirstParagraph"/>
      </w:pPr>
      <w:r>
        <w:t xml:space="preserve">The osteotomy should be just large enough to allow comfortable ultrasonic root-end preparation and retrofill placement — typically 4–5 mm — while preserving as much cortical and cancellous bone as possible (Toronto Study).</w:t>
      </w:r>
    </w:p>
    <w:p>
      <w:pPr>
        <w:numPr>
          <w:ilvl w:val="0"/>
          <w:numId w:val="1242"/>
        </w:numPr>
        <w:pStyle w:val="Compact"/>
      </w:pPr>
      <w:r>
        <w:t xml:space="preserve">What instruments and techniques are used for osteotomy?</w:t>
      </w:r>
    </w:p>
    <w:p>
      <w:pPr>
        <w:pStyle w:val="FirstParagraph"/>
      </w:pPr>
      <w:r>
        <w:t xml:space="preserve">Either a surgical bur (e.g., Lindemann, round carbide) with copious irrigation or a piezoelectric device (piezotome) can be used. Piezosurgery offers selective cutting of hard tissue while sparing adjacent soft tissues such as nerves and the sinus membrane. A radiopaque marker (e.g., lead foil) or CBCT-guided template (TEMS) can aid in localizing the root apex. For the smoothest, flattest resected root surface, a multipurpose fissure bur is recommended (Morgan).</w:t>
      </w:r>
    </w:p>
    <w:p>
      <w:pPr>
        <w:numPr>
          <w:ilvl w:val="0"/>
          <w:numId w:val="1243"/>
        </w:numPr>
        <w:pStyle w:val="Compact"/>
      </w:pPr>
      <w:r>
        <w:t xml:space="preserve">How do you manage proximity to anatomical structures?</w:t>
      </w:r>
    </w:p>
    <w:p>
      <w:pPr>
        <w:pStyle w:val="FirstParagraph"/>
      </w:pPr>
      <w:r>
        <w:t xml:space="preserve">Pre-operative CBCT planning is essential. Intra-operatively, maintain direct visualization with the microscope, use appropriate retraction to protect adjacent structures, and employ piezoelectric instruments in sensitive areas (near the IAN, mental foramen, or maxillary sinus).</w:t>
      </w:r>
    </w:p>
    <w:bookmarkEnd w:id="85"/>
    <w:bookmarkStart w:id="86" w:name="Xc382ba16c8496ee26af7ecca45504286b3d0b4a"/>
    <w:p>
      <w:pPr>
        <w:pStyle w:val="Heading2"/>
      </w:pPr>
      <w:r>
        <w:t xml:space="preserve">10.4 Root-End Resection Depth and Angle</w:t>
      </w:r>
    </w:p>
    <w:p>
      <w:pPr>
        <w:numPr>
          <w:ilvl w:val="0"/>
          <w:numId w:val="1244"/>
        </w:numPr>
        <w:pStyle w:val="Compact"/>
      </w:pPr>
      <w:r>
        <w:t xml:space="preserve">What is the recommended root-end resection amount and rationale?</w:t>
      </w:r>
    </w:p>
    <w:p>
      <w:pPr>
        <w:pStyle w:val="FirstParagraph"/>
      </w:pPr>
      <w:r>
        <w:t xml:space="preserve">A 3 mm resection removes the majority of apical ramifications and lateral canals within the apical delta (Kim and Kratchman; Block). Weller recommends 4 mm as necessary to reliably expose the isthmus between mesial canals in most cases.</w:t>
      </w:r>
    </w:p>
    <w:p>
      <w:pPr>
        <w:numPr>
          <w:ilvl w:val="0"/>
          <w:numId w:val="1245"/>
        </w:numPr>
        <w:pStyle w:val="Compact"/>
      </w:pPr>
      <w:r>
        <w:t xml:space="preserve">What angle of resection is optimal and why?</w:t>
      </w:r>
    </w:p>
    <w:p>
      <w:pPr>
        <w:pStyle w:val="FirstParagraph"/>
      </w:pPr>
      <w:r>
        <w:t xml:space="preserve">A 0° (perpendicular) bevel is optimal (Gilheany and Figdor) because it minimizes the number of dentinal tubules exposed on the cut surface and thereby reduces apical microleakage.</w:t>
      </w:r>
    </w:p>
    <w:p>
      <w:pPr>
        <w:numPr>
          <w:ilvl w:val="0"/>
          <w:numId w:val="1246"/>
        </w:numPr>
        <w:pStyle w:val="Compact"/>
      </w:pPr>
      <w:r>
        <w:t xml:space="preserve">How does resection level affect exposure of anatomical complexities?</w:t>
      </w:r>
    </w:p>
    <w:p>
      <w:pPr>
        <w:pStyle w:val="FirstParagraph"/>
      </w:pPr>
      <w:r>
        <w:t xml:space="preserve">Deeper resection exposes additional canal morphology — isthmuses, fins, and lateral canals — but at the cost of reduced crown-to-root ratio and increased removal of sound root structure. The goal is to resect enough to address the anatomical source of failure without over-shortening the root.</w:t>
      </w:r>
    </w:p>
    <w:p>
      <w:pPr>
        <w:numPr>
          <w:ilvl w:val="0"/>
          <w:numId w:val="1247"/>
        </w:numPr>
        <w:pStyle w:val="Compact"/>
      </w:pPr>
      <w:r>
        <w:t xml:space="preserve">What is the best way to achieve intra-operative hemostasis?</w:t>
      </w:r>
    </w:p>
    <w:p>
      <w:pPr>
        <w:pStyle w:val="FirstParagraph"/>
      </w:pPr>
      <w:r>
        <w:t xml:space="preserve">Epinephrine-soaked cotton pellets packed into the bony crypt for 2–4 minutes provide reliable local hemostasis with minimal systemic effect (Vickers). Other hemostatic agents (bone wax, collagen, ferric sulfate) can be harder to remove and may induce inflammation or alter healing (Ibarrola and Bjorndal).</w:t>
      </w:r>
    </w:p>
    <w:p>
      <w:pPr>
        <w:numPr>
          <w:ilvl w:val="0"/>
          <w:numId w:val="1248"/>
        </w:numPr>
        <w:pStyle w:val="Compact"/>
      </w:pPr>
      <w:r>
        <w:t xml:space="preserve">What is the typical blood loss with apical surgery?</w:t>
      </w:r>
    </w:p>
    <w:p>
      <w:pPr>
        <w:pStyle w:val="FirstParagraph"/>
      </w:pPr>
      <w:r>
        <w:t xml:space="preserve">Mean blood loss is approximately 9.5 mL. The largest determinants are surgical time (longer procedures bleed more) and anatomical location — palatal surgery causes roughly 4× the blood loss of buccal surgery.</w:t>
      </w:r>
    </w:p>
    <w:p>
      <w:pPr>
        <w:numPr>
          <w:ilvl w:val="0"/>
          <w:numId w:val="1249"/>
        </w:numPr>
        <w:pStyle w:val="Compact"/>
      </w:pPr>
      <w:r>
        <w:t xml:space="preserve">Does every portion of the lesion need to be removed for healing?</w:t>
      </w:r>
    </w:p>
    <w:p>
      <w:pPr>
        <w:pStyle w:val="FirstParagraph"/>
      </w:pPr>
      <w:r>
        <w:t xml:space="preserve">No. Lin and Langeland showed that complete curettage of the periapical lesion is not required for healing; however, all foreign debris (extruded sealer, gutta-percha, amalgam fragments) must be removed.</w:t>
      </w:r>
    </w:p>
    <w:p>
      <w:pPr>
        <w:pStyle w:val="BodyText"/>
      </w:pPr>
      <w:r>
        <w:rPr>
          <w:bCs/>
          <w:b/>
        </w:rPr>
        <w:t xml:space="preserve">Pre-operative management:</w:t>
      </w:r>
    </w:p>
    <w:p>
      <w:pPr>
        <w:numPr>
          <w:ilvl w:val="0"/>
          <w:numId w:val="1250"/>
        </w:numPr>
        <w:pStyle w:val="Compact"/>
      </w:pPr>
      <w:r>
        <w:t xml:space="preserve">800 mg ibuprofen at the start of the appointment reduces post-operative pain (Dionne)</w:t>
      </w:r>
    </w:p>
    <w:p>
      <w:pPr>
        <w:numPr>
          <w:ilvl w:val="0"/>
          <w:numId w:val="1250"/>
        </w:numPr>
        <w:pStyle w:val="Compact"/>
      </w:pPr>
      <w:r>
        <w:t xml:space="preserve">A pre-operative chlorhexidine rinse decreases oral bacterial load and surgical-site contamination (Martin)</w:t>
      </w:r>
    </w:p>
    <w:bookmarkEnd w:id="86"/>
    <w:bookmarkStart w:id="87" w:name="Xc76c3a3d0b652decb5c202581214ae96cb8399d"/>
    <w:p>
      <w:pPr>
        <w:pStyle w:val="Heading2"/>
      </w:pPr>
      <w:r>
        <w:t xml:space="preserve">10.5 Root-End Preparation Depth</w:t>
      </w:r>
    </w:p>
    <w:p>
      <w:pPr>
        <w:numPr>
          <w:ilvl w:val="0"/>
          <w:numId w:val="1251"/>
        </w:numPr>
        <w:pStyle w:val="Compact"/>
      </w:pPr>
      <w:r>
        <w:t xml:space="preserve">What is the recommended root-end preparation depth?</w:t>
      </w:r>
    </w:p>
    <w:p>
      <w:pPr>
        <w:pStyle w:val="FirstParagraph"/>
      </w:pPr>
      <w:r>
        <w:t xml:space="preserve">3 mm, which provides adequate retention and seal for modern retrofill materials (Mattison et al.).</w:t>
      </w:r>
    </w:p>
    <w:p>
      <w:pPr>
        <w:numPr>
          <w:ilvl w:val="0"/>
          <w:numId w:val="1252"/>
        </w:numPr>
        <w:pStyle w:val="Compact"/>
      </w:pPr>
      <w:r>
        <w:t xml:space="preserve">What instruments are used for root-end preparation?</w:t>
      </w:r>
    </w:p>
    <w:p>
      <w:pPr>
        <w:pStyle w:val="FirstParagraph"/>
      </w:pPr>
      <w:r>
        <w:t xml:space="preserve">Ultrasonic retro-tips are the instruments of choice. They allow the operator to prepare a clean, centered, conservative root-end cavity within the confines of a small osteotomy, without over-enlarging the bony crypt (Mehlhaff).</w:t>
      </w:r>
    </w:p>
    <w:p>
      <w:pPr>
        <w:numPr>
          <w:ilvl w:val="0"/>
          <w:numId w:val="1253"/>
        </w:numPr>
        <w:pStyle w:val="Compact"/>
      </w:pPr>
      <w:r>
        <w:t xml:space="preserve">Do ultrasonic tips cause cracks?</w:t>
      </w:r>
    </w:p>
    <w:p>
      <w:pPr>
        <w:pStyle w:val="FirstParagraph"/>
      </w:pPr>
      <w:r>
        <w:t xml:space="preserve">Ultrasonic tips do not create new cracks in sound root dentin, but pre-existing microcracks can propagate under ultrasonic vibration (Tawil, clinical study).</w:t>
      </w:r>
    </w:p>
    <w:p>
      <w:pPr>
        <w:numPr>
          <w:ilvl w:val="0"/>
          <w:numId w:val="1254"/>
        </w:numPr>
        <w:pStyle w:val="Compact"/>
      </w:pPr>
      <w:r>
        <w:t xml:space="preserve">How does preparation depth affect seal and prognosis?</w:t>
      </w:r>
    </w:p>
    <w:p>
      <w:pPr>
        <w:pStyle w:val="FirstParagraph"/>
      </w:pPr>
      <w:r>
        <w:t xml:space="preserve">A root-end cavity depth of 3 mm provides a reliable seal and positions the retrofill well within the walls of the resected root. Shallower preparations leave inadequate retention for the retrofill material; excessive depth is unnecessary and weakens the remaining root.</w:t>
      </w:r>
    </w:p>
    <w:bookmarkEnd w:id="87"/>
    <w:bookmarkStart w:id="88" w:name="X605a840f272b5c3a8cd4c9c1e0f074c0ba0765b"/>
    <w:p>
      <w:pPr>
        <w:pStyle w:val="Heading2"/>
      </w:pPr>
      <w:r>
        <w:t xml:space="preserve">10.6 Retrofill Material Selection</w:t>
      </w:r>
    </w:p>
    <w:p>
      <w:pPr>
        <w:numPr>
          <w:ilvl w:val="0"/>
          <w:numId w:val="1255"/>
        </w:numPr>
        <w:pStyle w:val="Compact"/>
      </w:pPr>
      <w:r>
        <w:t xml:space="preserve">Why is a retrofill necessary after apicoectomy?</w:t>
      </w:r>
    </w:p>
    <w:p>
      <w:pPr>
        <w:pStyle w:val="FirstParagraph"/>
      </w:pPr>
      <w:r>
        <w:t xml:space="preserve">To create an adequate apical seal. Following apicoectomy, gutta-percha becomes exposed to blood from the surgical site, which would result in apical leakage if left as the sole sealing material. A retrofill material provides a hermetic seal independent of the coronal restoration and resistant to the wet surgical environment.</w:t>
      </w:r>
    </w:p>
    <w:p>
      <w:pPr>
        <w:numPr>
          <w:ilvl w:val="0"/>
          <w:numId w:val="1256"/>
        </w:numPr>
      </w:pPr>
      <w:r>
        <w:rPr>
          <w:bCs/>
          <w:b/>
        </w:rPr>
        <w:t xml:space="preserve">Kruse et al. (JOE 2016):</w:t>
      </w:r>
      <w:r>
        <w:t xml:space="preserve"> </w:t>
      </w:r>
      <w:r>
        <w:t xml:space="preserve">Success rate was 30% higher at 6 years when MTA was placed as a retrofilling material compared to simply cutting the apical root segment and smoothing the gutta-percha.</w:t>
      </w:r>
    </w:p>
    <w:p>
      <w:pPr>
        <w:numPr>
          <w:ilvl w:val="0"/>
          <w:numId w:val="1256"/>
        </w:numPr>
      </w:pPr>
      <w:r>
        <w:rPr>
          <w:bCs/>
          <w:b/>
        </w:rPr>
        <w:t xml:space="preserve">Christiansen et al. (IEJ 2009):</w:t>
      </w:r>
      <w:r>
        <w:t xml:space="preserve"> </w:t>
      </w:r>
      <w:r>
        <w:t xml:space="preserve">Corroborated these findings, showing markedly inferior outcomes when the cut GP surface was left without a retrofill.</w:t>
      </w:r>
    </w:p>
    <w:p>
      <w:pPr>
        <w:numPr>
          <w:ilvl w:val="0"/>
          <w:numId w:val="1256"/>
        </w:numPr>
      </w:pPr>
      <w:r>
        <w:t xml:space="preserve">What are the properties of an ideal retrofill material?</w:t>
      </w:r>
    </w:p>
    <w:p>
      <w:pPr>
        <w:pStyle w:val="FirstParagraph"/>
      </w:pPr>
      <w:r>
        <w:t xml:space="preserve">An ideal retrofill is biocompatible, bacteriostatic, dimensionally stable, moisture-tolerant during setting, adherent to dentinal walls, easy to handle within the surgical crypt, non-resorbable, radiopaque, and capable of supporting cementum and bone regeneration over its surface.</w:t>
      </w:r>
    </w:p>
    <w:p>
      <w:pPr>
        <w:numPr>
          <w:ilvl w:val="0"/>
          <w:numId w:val="1257"/>
        </w:numPr>
        <w:pStyle w:val="Compact"/>
      </w:pPr>
      <w:r>
        <w:t xml:space="preserve">How do MTA, Biodentine, and other bioceramics compare as retrofill materials?</w:t>
      </w:r>
    </w:p>
    <w:p>
      <w:pPr>
        <w:pStyle w:val="FirstParagraph"/>
      </w:pPr>
      <w:r>
        <w:t xml:space="preserve">MTA, Biodentine, and other tricalcium silicate bioceramics (Endosequence Root Repair Material, BioAggregate) share the core advantages of biocompatibility, moisture tolerance, and bioactive hydroxyapatite formation at the dentin interface. Biodentine has a shorter setting time (~12 minutes vs. 2–4 hours for ProRoot MTA) and superior compressive strength. Bioceramic putties offer improved handling within the surgical crypt compared with traditional MTA.</w:t>
      </w:r>
    </w:p>
    <w:p>
      <w:pPr>
        <w:numPr>
          <w:ilvl w:val="0"/>
          <w:numId w:val="1258"/>
        </w:numPr>
      </w:pPr>
      <w:r>
        <w:t xml:space="preserve">What is the evidence for success rates with different materials?</w:t>
      </w:r>
    </w:p>
    <w:p>
      <w:pPr>
        <w:numPr>
          <w:ilvl w:val="0"/>
          <w:numId w:val="1258"/>
        </w:numPr>
      </w:pPr>
      <w:r>
        <w:rPr>
          <w:bCs/>
          <w:b/>
        </w:rPr>
        <w:t xml:space="preserve">Christiansen:</w:t>
      </w:r>
      <w:r>
        <w:t xml:space="preserve"> </w:t>
      </w:r>
      <w:r>
        <w:t xml:space="preserve">85% healing at 1 year with MTA retrofill vs. 28% with gutta-percha alone</w:t>
      </w:r>
    </w:p>
    <w:p>
      <w:pPr>
        <w:numPr>
          <w:ilvl w:val="0"/>
          <w:numId w:val="1258"/>
        </w:numPr>
      </w:pPr>
      <w:r>
        <w:rPr>
          <w:bCs/>
          <w:b/>
        </w:rPr>
        <w:t xml:space="preserve">Chen:</w:t>
      </w:r>
      <w:r>
        <w:t xml:space="preserve"> </w:t>
      </w:r>
      <w:r>
        <w:t xml:space="preserve">Endosequence Root Repair Material outperformed MTA in a canine healing model</w:t>
      </w:r>
    </w:p>
    <w:p>
      <w:pPr>
        <w:numPr>
          <w:ilvl w:val="0"/>
          <w:numId w:val="1258"/>
        </w:numPr>
      </w:pPr>
      <w:r>
        <w:rPr>
          <w:bCs/>
          <w:b/>
        </w:rPr>
        <w:t xml:space="preserve">Torabinejad:</w:t>
      </w:r>
      <w:r>
        <w:t xml:space="preserve"> </w:t>
      </w:r>
      <w:r>
        <w:t xml:space="preserve">MTA superior to amalgam in monkey and dog models</w:t>
      </w:r>
    </w:p>
    <w:p>
      <w:pPr>
        <w:numPr>
          <w:ilvl w:val="0"/>
          <w:numId w:val="1258"/>
        </w:numPr>
      </w:pPr>
      <w:r>
        <w:rPr>
          <w:bCs/>
          <w:b/>
        </w:rPr>
        <w:t xml:space="preserve">Baek and Kim:</w:t>
      </w:r>
      <w:r>
        <w:t xml:space="preserve"> </w:t>
      </w:r>
      <w:r>
        <w:t xml:space="preserve">MTA produced better healing than Super EBA and amalgam</w:t>
      </w:r>
    </w:p>
    <w:p>
      <w:pPr>
        <w:numPr>
          <w:ilvl w:val="0"/>
          <w:numId w:val="1258"/>
        </w:numPr>
      </w:pPr>
      <w:r>
        <w:t xml:space="preserve">What are the indications for guided tissue regeneration in apical surgery?</w:t>
      </w:r>
    </w:p>
    <w:p>
      <w:pPr>
        <w:pStyle w:val="FirstParagraph"/>
      </w:pPr>
      <w:r>
        <w:t xml:space="preserve">GTR is indicated for:</w:t>
      </w:r>
    </w:p>
    <w:p>
      <w:pPr>
        <w:numPr>
          <w:ilvl w:val="0"/>
          <w:numId w:val="1259"/>
        </w:numPr>
        <w:pStyle w:val="Compact"/>
      </w:pPr>
      <w:r>
        <w:t xml:space="preserve">Large periapical lesions greater than 10 mm (Tsesis)</w:t>
      </w:r>
    </w:p>
    <w:p>
      <w:pPr>
        <w:numPr>
          <w:ilvl w:val="0"/>
          <w:numId w:val="1259"/>
        </w:numPr>
        <w:pStyle w:val="Compact"/>
      </w:pPr>
      <w:r>
        <w:t xml:space="preserve">Through-and-through lesions (Tsesis)</w:t>
      </w:r>
    </w:p>
    <w:p>
      <w:pPr>
        <w:numPr>
          <w:ilvl w:val="0"/>
          <w:numId w:val="1259"/>
        </w:numPr>
        <w:pStyle w:val="Compact"/>
      </w:pPr>
      <w:r>
        <w:t xml:space="preserve">Apical-marginal (endo-perio) communication defects (Douthitt; Dietrich)</w:t>
      </w:r>
    </w:p>
    <w:bookmarkEnd w:id="88"/>
    <w:bookmarkStart w:id="89" w:name="X98572bc810cd16050b9d68553c96f48b733a7f6"/>
    <w:p>
      <w:pPr>
        <w:pStyle w:val="Heading2"/>
      </w:pPr>
      <w:r>
        <w:t xml:space="preserve">10.7 Hemisection/Root Amputation Decisions</w:t>
      </w:r>
    </w:p>
    <w:p>
      <w:pPr>
        <w:numPr>
          <w:ilvl w:val="0"/>
          <w:numId w:val="1260"/>
        </w:numPr>
        <w:pStyle w:val="Compact"/>
      </w:pPr>
      <w:r>
        <w:t xml:space="preserve">What are the indications for hemisection vs. root amputation?</w:t>
      </w:r>
    </w:p>
    <w:p>
      <w:pPr>
        <w:pStyle w:val="FirstParagraph"/>
      </w:pPr>
      <w:r>
        <w:rPr>
          <w:bCs/>
          <w:b/>
        </w:rPr>
        <w:t xml:space="preserve">Root amputation</w:t>
      </w:r>
      <w:r>
        <w:t xml:space="preserve"> </w:t>
      </w:r>
      <w:r>
        <w:t xml:space="preserve">removes one or more roots of a multi-rooted tooth while retaining the crown and remaining root(s). It is used most commonly for maxillary molars when a single root has isolated, severe pathology — typically a fractured root (VRF confined to one root), a furcation defect limited to one root with inadequate bone support, a non-negotiable or untreatable root canal system, or a perforation that cannot be repaired. Endodontic treatment of the retained roots is completed before or concurrent with root resection.</w:t>
      </w:r>
    </w:p>
    <w:p>
      <w:pPr>
        <w:pStyle w:val="BodyText"/>
      </w:pPr>
      <w:r>
        <w:rPr>
          <w:bCs/>
          <w:b/>
        </w:rPr>
        <w:t xml:space="preserve">Hemisection</w:t>
      </w:r>
      <w:r>
        <w:t xml:space="preserve"> </w:t>
      </w:r>
      <w:r>
        <w:t xml:space="preserve">divides a mandibular molar through the furcation into two separate premolar-shaped units, one of which may be extracted and one retained (or both retained as individual crown abutments). Hemisection is indicated when one root of a mandibular molar is unresectable — for example, an isolated VRF, an unresectable furcation defect on one side, or severe bone loss surrounding only one root — while the other root retains adequate bone support and is treatable endodontically.</w:t>
      </w:r>
    </w:p>
    <w:p>
      <w:pPr>
        <w:pStyle w:val="BodyText"/>
      </w:pPr>
      <w:r>
        <w:t xml:space="preserve">Prerequisites for both: (1) complete endodontic treatment of all retained roots; (2) adequate bone support for the retained root(s); (3) favorable tooth and root anatomy — fused roots, a very short root trunk, or roots in close proximity are relative contraindications. Patient oral hygiene and commitment to periodontal maintenance must be assessed before committing to a complex restorative pathway.</w:t>
      </w:r>
    </w:p>
    <w:p>
      <w:pPr>
        <w:numPr>
          <w:ilvl w:val="0"/>
          <w:numId w:val="1261"/>
        </w:numPr>
        <w:pStyle w:val="Compact"/>
      </w:pPr>
      <w:r>
        <w:t xml:space="preserve">What factors affect prognosis of these procedures?</w:t>
      </w:r>
    </w:p>
    <w:p>
      <w:pPr>
        <w:pStyle w:val="FirstParagraph"/>
      </w:pPr>
      <w:r>
        <w:t xml:space="preserve">Favorable prognostic factors include: localized disease (not generalized periodontitis), adequate bone support around the retained root(s), absence of furcation involvement in retained roots, favorable root anatomy for separation, good patient oral hygiene, and reliable periodontal maintenance compliance. The periodontal status of the retained root is the single most important determinant of long-term prognosis {{cite: Blomlöf 1997 — periodontal status of the retained root is the dominant prognostic factor for hemisection and root amputation outcomes}}.</w:t>
      </w:r>
    </w:p>
    <w:p>
      <w:pPr>
        <w:pStyle w:val="BodyText"/>
      </w:pPr>
      <w:r>
        <w:t xml:space="preserve">Unfavorable factors include: generalized advanced periodontitis, Class II–III furcation in retained roots, root proximity making clean surgical separation difficult, thin or short roots with limited bone anchor, and poor patient compliance. Short root trunk anatomy increases the technical challenge and may compromise the restorative result.</w:t>
      </w:r>
    </w:p>
    <w:p>
      <w:pPr>
        <w:numPr>
          <w:ilvl w:val="0"/>
          <w:numId w:val="1262"/>
        </w:numPr>
        <w:pStyle w:val="Compact"/>
      </w:pPr>
      <w:r>
        <w:t xml:space="preserve">How do survival rates compare to extraction and implant?</w:t>
      </w:r>
    </w:p>
    <w:p>
      <w:pPr>
        <w:pStyle w:val="FirstParagraph"/>
      </w:pPr>
      <w:r>
        <w:t xml:space="preserve">Survival rates for root-resected and hemisected molars are approximately 68–90% at 5–10 years with appropriate case selection and periodontal maintenance {{cite: Carnevale 1998 — root-resected molars retained in over 90% of cases at more than 10 years in a periodontal practice with regular maintenance; favorable case selection is critical}}. Extraction followed by implant placement provides a predictable alternative, with implant survival rates exceeding 95% at 10 years in most populations. When deciding between the two approaches, consider: (1) strategic value of the retained tooth structure; (2) quality of the patient's periodontal maintenance; (3) cost — root resection is typically less costly than extraction plus implant and bone graft; (4) patient preference for retaining natural tooth structure. For patients with reliable periodontal maintenance who have strategically important teeth with localized pathology, root amputation or hemisection is a valid evidence-based alternative to extraction and implant.</w:t>
      </w:r>
    </w:p>
    <w:bookmarkEnd w:id="89"/>
    <w:bookmarkEnd w:id="90"/>
    <w:bookmarkStart w:id="94" w:name="X5044515fe9b6dfb5c61826ce352b6ca8c4edf53"/>
    <w:p>
      <w:pPr>
        <w:pStyle w:val="Heading1"/>
      </w:pPr>
      <w:r>
        <w:t xml:space="preserve">11. Recall and Outcomes</w:t>
      </w:r>
    </w:p>
    <w:bookmarkStart w:id="91" w:name="Xbacac19da271e0ca437b7d04b8cf813eb7d6129"/>
    <w:p>
      <w:pPr>
        <w:pStyle w:val="Heading2"/>
      </w:pPr>
      <w:r>
        <w:t xml:space="preserve">11.1 Recall Interval Determination</w:t>
      </w:r>
    </w:p>
    <w:p>
      <w:pPr>
        <w:numPr>
          <w:ilvl w:val="0"/>
          <w:numId w:val="1263"/>
        </w:numPr>
        <w:pStyle w:val="Compact"/>
      </w:pPr>
      <w:r>
        <w:t xml:space="preserve">What recall intervals are recommended after endodontic treatment?</w:t>
      </w:r>
    </w:p>
    <w:p>
      <w:pPr>
        <w:pStyle w:val="FirstParagraph"/>
      </w:pPr>
      <w:r>
        <w:t xml:space="preserve">Standard recall intervals are 6 months, 1 year, and then annually as needed. Larger lesions and retreatment cases warrant longer follow-up because healing may take several years. Teeth treated for asymptomatic apical periodontitis should be reviewed at 1, 2, and 4 years if the lesion is not yet fully resolved.</w:t>
      </w:r>
    </w:p>
    <w:p>
      <w:pPr>
        <w:numPr>
          <w:ilvl w:val="0"/>
          <w:numId w:val="1264"/>
        </w:numPr>
        <w:pStyle w:val="Compact"/>
      </w:pPr>
      <w:r>
        <w:t xml:space="preserve">How does preoperative diagnosis affect follow-up schedule?</w:t>
      </w:r>
    </w:p>
    <w:p>
      <w:pPr>
        <w:pStyle w:val="FirstParagraph"/>
      </w:pPr>
      <w:r>
        <w:t xml:space="preserve">Teeth treated for vital pulp pathology can generally be assessed at a single 1-year recall, since healing is typically straightforward and there is no pre-existing lesion to monitor. Necrotic cases with periapical lesions require longer follow-up to confirm radiographic resolution.</w:t>
      </w:r>
    </w:p>
    <w:p>
      <w:pPr>
        <w:numPr>
          <w:ilvl w:val="0"/>
          <w:numId w:val="1265"/>
        </w:numPr>
        <w:pStyle w:val="Compact"/>
      </w:pPr>
      <w:r>
        <w:t xml:space="preserve">What is the minimum follow-up period to assess healing?</w:t>
      </w:r>
    </w:p>
    <w:p>
      <w:pPr>
        <w:pStyle w:val="FirstParagraph"/>
      </w:pPr>
      <w:r>
        <w:t xml:space="preserve">One year is the minimum meaningful follow-up interval. Lesions larger than 1 cm may require up to 4 years for complete radiographic resolution.</w:t>
      </w:r>
    </w:p>
    <w:bookmarkEnd w:id="91"/>
    <w:bookmarkStart w:id="92" w:name="X54baef3b499cd33bf67a71b707ffefb9413fc47"/>
    <w:p>
      <w:pPr>
        <w:pStyle w:val="Heading2"/>
      </w:pPr>
      <w:r>
        <w:t xml:space="preserve">11.2 Healing Assessment Criteria and Timing</w:t>
      </w:r>
    </w:p>
    <w:p>
      <w:pPr>
        <w:numPr>
          <w:ilvl w:val="0"/>
          <w:numId w:val="1266"/>
        </w:numPr>
        <w:pStyle w:val="Compact"/>
      </w:pPr>
      <w:r>
        <w:t xml:space="preserve">What are the clinical and radiographic criteria for healed vs. healing vs. disease?</w:t>
      </w:r>
    </w:p>
    <w:p>
      <w:pPr>
        <w:pStyle w:val="FirstParagraph"/>
      </w:pPr>
      <w:r>
        <w:rPr>
          <w:bCs/>
          <w:b/>
        </w:rPr>
        <w:t xml:space="preserve">Healed:</w:t>
      </w:r>
      <w:r>
        <w:t xml:space="preserve"> </w:t>
      </w:r>
      <w:r>
        <w:t xml:space="preserve">absence of symptoms, normal PDL space, intact lamina dura, no radiolucency.</w:t>
      </w:r>
      <w:r>
        <w:t xml:space="preserve"> </w:t>
      </w:r>
      <w:r>
        <w:rPr>
          <w:bCs/>
          <w:b/>
        </w:rPr>
        <w:t xml:space="preserve">Healing:</w:t>
      </w:r>
      <w:r>
        <w:t xml:space="preserve"> </w:t>
      </w:r>
      <w:r>
        <w:t xml:space="preserve">asymptomatic tooth with progressive reduction in periapical radiolucency on serial radiographs.</w:t>
      </w:r>
      <w:r>
        <w:t xml:space="preserve"> </w:t>
      </w:r>
      <w:r>
        <w:rPr>
          <w:bCs/>
          <w:b/>
        </w:rPr>
        <w:t xml:space="preserve">Persistent disease:</w:t>
      </w:r>
      <w:r>
        <w:t xml:space="preserve"> </w:t>
      </w:r>
      <w:r>
        <w:t xml:space="preserve">symptoms, unresolved or enlarging radiolucency, sinus tract, or percussion sensitivity.</w:t>
      </w:r>
    </w:p>
    <w:p>
      <w:pPr>
        <w:numPr>
          <w:ilvl w:val="0"/>
          <w:numId w:val="1267"/>
        </w:numPr>
        <w:pStyle w:val="Compact"/>
      </w:pPr>
      <w:r>
        <w:t xml:space="preserve">What is the expected timeline for periapical healing?</w:t>
      </w:r>
    </w:p>
    <w:p>
      <w:pPr>
        <w:pStyle w:val="FirstParagraph"/>
      </w:pPr>
      <w:r>
        <w:t xml:space="preserve">70% of periapical lesions require more than 1 year to heal completely (Murphy et al.). Most lesions show progressive improvement over 1–4 years.</w:t>
      </w:r>
    </w:p>
    <w:p>
      <w:pPr>
        <w:numPr>
          <w:ilvl w:val="0"/>
          <w:numId w:val="1268"/>
        </w:numPr>
        <w:pStyle w:val="Compact"/>
      </w:pPr>
      <w:r>
        <w:t xml:space="preserve">What role does CBCT play in healing assessment?</w:t>
      </w:r>
    </w:p>
    <w:p>
      <w:pPr>
        <w:pStyle w:val="FirstParagraph"/>
      </w:pPr>
      <w:r>
        <w:t xml:space="preserve">CBCT enables 3-dimensional assessment of healing but tends to overestimate persistent disease compared with conventional radiographs {{cite: Torabinejad 2009 — 20% of endodontically treated teeth showed apical hypodensities greater than 1 mm on CBCT that would be classified as healed by 2D periapical radiograph criteria; CBCT over-detects persistent disease}}. The clinical implication is that CBCT should not be used routinely for healing assessment — conventional periapical radiographs are adequate and appropriate for the vast majority of follow-up evaluations. CBCT at recall is justified only when clinical or 2D radiographic findings are equivocal and the result would change management.</w:t>
      </w:r>
    </w:p>
    <w:p>
      <w:pPr>
        <w:numPr>
          <w:ilvl w:val="0"/>
          <w:numId w:val="1269"/>
        </w:numPr>
        <w:pStyle w:val="Compact"/>
      </w:pPr>
      <w:r>
        <w:t xml:space="preserve">How do you define success vs. survival in endodontics?</w:t>
      </w:r>
    </w:p>
    <w:p>
      <w:pPr>
        <w:pStyle w:val="FirstParagraph"/>
      </w:pPr>
      <w:r>
        <w:rPr>
          <w:bCs/>
          <w:b/>
        </w:rPr>
        <w:t xml:space="preserve">Success</w:t>
      </w:r>
      <w:r>
        <w:t xml:space="preserve"> </w:t>
      </w:r>
      <w:r>
        <w:t xml:space="preserve">is a strict radiographic and clinical definition — absence of pathology on follow-up imaging and resolution of all symptoms.</w:t>
      </w:r>
      <w:r>
        <w:t xml:space="preserve"> </w:t>
      </w:r>
      <w:r>
        <w:rPr>
          <w:bCs/>
          <w:b/>
        </w:rPr>
        <w:t xml:space="preserve">Survival</w:t>
      </w:r>
      <w:r>
        <w:t xml:space="preserve"> </w:t>
      </w:r>
      <w:r>
        <w:t xml:space="preserve">simply means the tooth remains functional in the mouth, regardless of the presence or absence of periapical radiolucency. Survival rates are consistently higher than strict success rates.</w:t>
      </w:r>
    </w:p>
    <w:bookmarkEnd w:id="92"/>
    <w:bookmarkStart w:id="93" w:name="Xeddc42e9626e104168d2bac3e309ed1e81968e6"/>
    <w:p>
      <w:pPr>
        <w:pStyle w:val="Heading2"/>
      </w:pPr>
      <w:r>
        <w:t xml:space="preserve">11.3 When to Intervene on Asymptomatic Apical Periodontitis</w:t>
      </w:r>
    </w:p>
    <w:p>
      <w:pPr>
        <w:numPr>
          <w:ilvl w:val="0"/>
          <w:numId w:val="1270"/>
        </w:numPr>
        <w:pStyle w:val="Compact"/>
      </w:pPr>
      <w:r>
        <w:t xml:space="preserve">What is the natural history of asymptomatic apical periodontitis?</w:t>
      </w:r>
    </w:p>
    <w:p>
      <w:pPr>
        <w:pStyle w:val="FirstParagraph"/>
      </w:pPr>
      <w:r>
        <w:t xml:space="preserve">Asymptomatic apical periodontitis (AAP) in a previously treated tooth can remain stable for years without causing symptoms, but it represents persistent infection or an unresolved inflammatory process. Some lesions heal slowly over time; others enlarge.</w:t>
      </w:r>
    </w:p>
    <w:p>
      <w:pPr>
        <w:numPr>
          <w:ilvl w:val="0"/>
          <w:numId w:val="1271"/>
        </w:numPr>
        <w:pStyle w:val="Compact"/>
      </w:pPr>
      <w:r>
        <w:t xml:space="preserve">When is intervention indicated for asymptomatic lesions?</w:t>
      </w:r>
    </w:p>
    <w:p>
      <w:pPr>
        <w:pStyle w:val="FirstParagraph"/>
      </w:pPr>
      <w:r>
        <w:t xml:space="preserve">Intervention is indicated when the lesion fails to decrease over 1–2 years of observation, is enlarging, becomes symptomatic, is adjacent to a proposed abutment, or when the patient is about to undergo immunosuppression or head/neck radiation.</w:t>
      </w:r>
    </w:p>
    <w:p>
      <w:pPr>
        <w:numPr>
          <w:ilvl w:val="0"/>
          <w:numId w:val="1272"/>
        </w:numPr>
        <w:pStyle w:val="Compact"/>
      </w:pPr>
      <w:r>
        <w:t xml:space="preserve">What factors determine observation vs. treatment?</w:t>
      </w:r>
    </w:p>
    <w:p>
      <w:pPr>
        <w:pStyle w:val="FirstParagraph"/>
      </w:pPr>
      <w:r>
        <w:t xml:space="preserve">Factors include lesion size and trajectory, patient age and medical status, strategic value of the tooth, presence of a coronal restoration issue, and patient preference.</w:t>
      </w:r>
    </w:p>
    <w:p>
      <w:pPr>
        <w:numPr>
          <w:ilvl w:val="0"/>
          <w:numId w:val="1273"/>
        </w:numPr>
        <w:pStyle w:val="Compact"/>
      </w:pPr>
      <w:r>
        <w:t xml:space="preserve">How does lesion size affect the decision?</w:t>
      </w:r>
    </w:p>
    <w:p>
      <w:pPr>
        <w:pStyle w:val="FirstParagraph"/>
      </w:pPr>
      <w:r>
        <w:t xml:space="preserve">Larger lesions are more likely to warrant intervention because they are less likely to heal spontaneously and carry greater risk of progression. Small stable lesions in asymptomatic teeth can often be monitored.</w:t>
      </w:r>
    </w:p>
    <w:bookmarkEnd w:id="93"/>
    <w:bookmarkEnd w:id="94"/>
    <w:bookmarkStart w:id="98" w:name="Xfaef7e246588b7a78f33845a696ca5f0914a778"/>
    <w:p>
      <w:pPr>
        <w:pStyle w:val="Heading1"/>
      </w:pPr>
      <w:r>
        <w:t xml:space="preserve">12. Pharmacology and Pain Management</w:t>
      </w:r>
    </w:p>
    <w:bookmarkStart w:id="95" w:name="Xc67088f99c3ebbb1cf09310d635447f2e885821"/>
    <w:p>
      <w:pPr>
        <w:pStyle w:val="Heading2"/>
      </w:pPr>
      <w:r>
        <w:t xml:space="preserve">12.1 Analgesic Selection and Dosing</w:t>
      </w:r>
    </w:p>
    <w:p>
      <w:pPr>
        <w:numPr>
          <w:ilvl w:val="0"/>
          <w:numId w:val="1274"/>
        </w:numPr>
        <w:pStyle w:val="Compact"/>
      </w:pPr>
      <w:r>
        <w:t xml:space="preserve">What is the NNT for common analgesics in dental pain?</w:t>
      </w:r>
    </w:p>
    <w:p>
      <w:pPr>
        <w:pStyle w:val="FirstParagraph"/>
      </w:pPr>
      <w:r>
        <w:t xml:space="preserve">The NNT for 800 mg ibuprofen to achieve 50% pain relief is 1.6 (Oxford League Table).</w:t>
      </w:r>
    </w:p>
    <w:p>
      <w:pPr>
        <w:numPr>
          <w:ilvl w:val="0"/>
          <w:numId w:val="1275"/>
        </w:numPr>
        <w:pStyle w:val="Compact"/>
      </w:pPr>
      <w:r>
        <w:t xml:space="preserve">What is the maximum recommended dose of ibuprofen over 24 hours?</w:t>
      </w:r>
    </w:p>
    <w:p>
      <w:pPr>
        <w:pStyle w:val="FirstParagraph"/>
      </w:pPr>
      <w:r>
        <w:t xml:space="preserve">Maximum is 3.2 grams (Jeske). Even in short durations (8-30 days), dosages above 1.2 grams per day increase cardiovascular risk. Use the lowest effective dose for the least amount of time.</w:t>
      </w:r>
    </w:p>
    <w:p>
      <w:pPr>
        <w:numPr>
          <w:ilvl w:val="0"/>
          <w:numId w:val="1276"/>
        </w:numPr>
        <w:pStyle w:val="Compact"/>
      </w:pPr>
      <w:r>
        <w:t xml:space="preserve">What combination analgesic regimens are most effective for endodontic pain?</w:t>
      </w:r>
    </w:p>
    <w:p>
      <w:pPr>
        <w:pStyle w:val="FirstParagraph"/>
      </w:pPr>
      <w:r>
        <w:t xml:space="preserve">The combination of 600 mg ibuprofen with 1000 mg acetaminophen is considered the most effective oral analgesic combination for acute dental pain. This combination produces lower NNT values than either drug alone and is superior to most opioid-containing formulations.</w:t>
      </w:r>
    </w:p>
    <w:p>
      <w:pPr>
        <w:numPr>
          <w:ilvl w:val="0"/>
          <w:numId w:val="1277"/>
        </w:numPr>
        <w:pStyle w:val="Compact"/>
      </w:pPr>
      <w:r>
        <w:t xml:space="preserve">When are opioids indicated in endodontic pain management?</w:t>
      </w:r>
    </w:p>
    <w:p>
      <w:pPr>
        <w:pStyle w:val="FirstParagraph"/>
      </w:pPr>
      <w:r>
        <w:t xml:space="preserve">Opioids are reserved for patients with severe pain who have a contraindication to or inadequate response from maximum-dose NSAIDs plus acetaminophen. When opioids are required, short courses of the lowest effective dose should be used, ideally in combination with a non-opioid to reduce the total opioid exposure.</w:t>
      </w:r>
    </w:p>
    <w:bookmarkEnd w:id="95"/>
    <w:bookmarkStart w:id="96" w:name="X69133553024a16a28803810fa037691d5f1d46f"/>
    <w:p>
      <w:pPr>
        <w:pStyle w:val="Heading2"/>
      </w:pPr>
      <w:r>
        <w:t xml:space="preserve">12.2 Antibiotic Selection and Indications</w:t>
      </w:r>
    </w:p>
    <w:p>
      <w:pPr>
        <w:numPr>
          <w:ilvl w:val="0"/>
          <w:numId w:val="1278"/>
        </w:numPr>
        <w:pStyle w:val="Compact"/>
      </w:pPr>
      <w:r>
        <w:t xml:space="preserve">What are the indications for antibiotics in endodontic infections?</w:t>
      </w:r>
    </w:p>
    <w:p>
      <w:pPr>
        <w:pStyle w:val="FirstParagraph"/>
      </w:pPr>
      <w:r>
        <w:t xml:space="preserve">Antibiotics are indicated only when there is evidence of systemic involvement or spreading infection — fever, malaise, diffuse cellulitis crossing fascial planes, trismus, lymphadenopathy, or an immunocompromised host. Antibiotics are</w:t>
      </w:r>
      <w:r>
        <w:t xml:space="preserve"> </w:t>
      </w:r>
      <w:r>
        <w:rPr>
          <w:bCs/>
          <w:b/>
        </w:rPr>
        <w:t xml:space="preserve">not</w:t>
      </w:r>
      <w:r>
        <w:t xml:space="preserve"> </w:t>
      </w:r>
      <w:r>
        <w:t xml:space="preserve">indicated for localized, fluctuant abscesses that can be adequately managed with local treatment (incision and drainage, pulpectomy).</w:t>
      </w:r>
    </w:p>
    <w:p>
      <w:pPr>
        <w:numPr>
          <w:ilvl w:val="0"/>
          <w:numId w:val="1279"/>
        </w:numPr>
        <w:pStyle w:val="Compact"/>
      </w:pPr>
      <w:r>
        <w:t xml:space="preserve">What is the first-line antibiotic for endodontic infections?</w:t>
      </w:r>
    </w:p>
    <w:p>
      <w:pPr>
        <w:pStyle w:val="FirstParagraph"/>
      </w:pPr>
      <w:r>
        <w:t xml:space="preserve">Penicillin VK or amoxicillin are the first-line drugs recommended by the AAE Position Statement on Antibiotic Use in Endodontics.</w:t>
      </w:r>
    </w:p>
    <w:p>
      <w:pPr>
        <w:numPr>
          <w:ilvl w:val="0"/>
          <w:numId w:val="1280"/>
        </w:numPr>
        <w:pStyle w:val="Compact"/>
      </w:pPr>
      <w:r>
        <w:t xml:space="preserve">When is Augmentin (amoxicillin/clavulanate) indicated?</w:t>
      </w:r>
    </w:p>
    <w:p>
      <w:pPr>
        <w:pStyle w:val="FirstParagraph"/>
      </w:pPr>
      <w:r>
        <w:t xml:space="preserve">Endodontic abscess bacteria are 100% susceptible to Augmentin vs. only 85% susceptible to penicillin VK (Baumgartner and Xia).</w:t>
      </w:r>
    </w:p>
    <w:p>
      <w:pPr>
        <w:numPr>
          <w:ilvl w:val="0"/>
          <w:numId w:val="1281"/>
        </w:numPr>
        <w:pStyle w:val="Compact"/>
      </w:pPr>
      <w:r>
        <w:t xml:space="preserve">What is the recommended antibiotic for penicillin-allergic patients?</w:t>
      </w:r>
    </w:p>
    <w:p>
      <w:pPr>
        <w:pStyle w:val="FirstParagraph"/>
      </w:pPr>
      <w:r>
        <w:t xml:space="preserve">Azithromycin is the recommended first-line drug for penicillin-allergic patients (2019 AAE Colleagues for Excellence).</w:t>
      </w:r>
    </w:p>
    <w:p>
      <w:pPr>
        <w:numPr>
          <w:ilvl w:val="0"/>
          <w:numId w:val="1282"/>
        </w:numPr>
        <w:pStyle w:val="Compact"/>
      </w:pPr>
      <w:r>
        <w:t xml:space="preserve">What is the recommended antibiotic course duration?</w:t>
      </w:r>
    </w:p>
    <w:p>
      <w:pPr>
        <w:pStyle w:val="FirstParagraph"/>
      </w:pPr>
      <w:r>
        <w:t xml:space="preserve">The European Society of Endodontology recommends a 3–7 day course. The 2019 AAE Colleagues for Excellence guidance and emerging antibiotic stewardship evidence support using the shortest effective course — preferably 3–5 days when the patient is responding clinically {{cite: AAE 2019 — AAE antibiotic guidance: use the shortest effective course (3–5 days preferred when the patient is improving clinically); antibiotics are an adjunct to local treatment, never a substitute}}. Key stewardship principles: (1) if swelling, trismus, and systemic signs are resolving, completing only the minimum necessary course is appropriate — extending beyond 5 days without clinical indication adds resistance pressure without demonstrated benefit; (2) the most common prescribing error in endodontics is antibiotic use for conditions where local treatment alone is sufficient (localized fluctuant abscess, irreversible pulpitis without systemic signs); (3) dose matters — under-dosing increases resistance risk without reducing toxicity.</w:t>
      </w:r>
    </w:p>
    <w:p>
      <w:pPr>
        <w:numPr>
          <w:ilvl w:val="0"/>
          <w:numId w:val="1283"/>
        </w:numPr>
        <w:pStyle w:val="Compact"/>
      </w:pPr>
      <w:r>
        <w:t xml:space="preserve">Do antibiotics decrease pain when added to NSAIDs and endodontic treatment?</w:t>
      </w:r>
    </w:p>
    <w:p>
      <w:pPr>
        <w:pStyle w:val="FirstParagraph"/>
      </w:pPr>
      <w:r>
        <w:t xml:space="preserve">No. Fouad, Rivera, and Walton (1996) conducted a prospective, double-blind, randomized controlled trial of 32 patients with a localized acute apical abscess. After standard local treatment (root canal debridement and/or incision and drainage), patients were randomized to penicillin VK, placebo, or no supplemental medication — all patients received ibuprofen. There was no statistically significant difference in symptom reduction or recovery among the three groups. The clinical takeaway: for a localized dental abscess without signs of systemic spread, adding an antibiotic to proper local treatment and NSAID therapy provides no demonstrable benefit.</w:t>
      </w:r>
    </w:p>
    <w:bookmarkEnd w:id="96"/>
    <w:bookmarkStart w:id="97" w:name="Xed4b479e5a905d1fbd86581e368a48522d4442f"/>
    <w:p>
      <w:pPr>
        <w:pStyle w:val="Heading2"/>
      </w:pPr>
      <w:r>
        <w:t xml:space="preserve">12.3 Antibiotic Prophylaxis Guidelines</w:t>
      </w:r>
    </w:p>
    <w:p>
      <w:pPr>
        <w:numPr>
          <w:ilvl w:val="0"/>
          <w:numId w:val="1284"/>
        </w:numPr>
        <w:pStyle w:val="Compact"/>
      </w:pPr>
      <w:r>
        <w:t xml:space="preserve">What are the current AHA guidelines for antibiotic prophylaxis?</w:t>
      </w:r>
    </w:p>
    <w:p>
      <w:pPr>
        <w:pStyle w:val="FirstParagraph"/>
      </w:pPr>
      <w:r>
        <w:t xml:space="preserve">Per 2007 American Heart Association guidelines, prophylaxis is indicated for: 1) Prosthetic heart valves, 2) History of infective endocarditis, 3) Unrepaired cyanotic congenital heart defects.</w:t>
      </w:r>
    </w:p>
    <w:p>
      <w:pPr>
        <w:pStyle w:val="BodyText"/>
      </w:pPr>
      <w:r>
        <w:t xml:space="preserve">The 2012 joint ADA and AAOS systematic review found that antibiotic prophylaxis reduces bacteria, but not infections. Antibiotics are not recommended prophylactically for patient with prosthetic joints.</w:t>
      </w:r>
    </w:p>
    <w:p>
      <w:pPr>
        <w:numPr>
          <w:ilvl w:val="0"/>
          <w:numId w:val="1285"/>
        </w:numPr>
        <w:pStyle w:val="Compact"/>
      </w:pPr>
      <w:r>
        <w:t xml:space="preserve">What dental procedures require prophylaxis in at-risk patients?</w:t>
      </w:r>
    </w:p>
    <w:p>
      <w:pPr>
        <w:pStyle w:val="FirstParagraph"/>
      </w:pPr>
      <w:r>
        <w:t xml:space="preserve">Procedures that involve manipulation of gingival tissue, the periapical region, or perforation of the oral mucosa require prophylaxis in patients meeting AHA criteria. This includes most endodontic procedures that extend beyond the orifice.</w:t>
      </w:r>
    </w:p>
    <w:p>
      <w:pPr>
        <w:numPr>
          <w:ilvl w:val="0"/>
          <w:numId w:val="1286"/>
        </w:numPr>
        <w:pStyle w:val="Compact"/>
      </w:pPr>
      <w:r>
        <w:t xml:space="preserve">What is the recommended prophylactic regimen?</w:t>
      </w:r>
    </w:p>
    <w:p>
      <w:pPr>
        <w:pStyle w:val="FirstParagraph"/>
      </w:pPr>
      <w:r>
        <w:t xml:space="preserve">Amoxicillin 2 g orally, 30–60 minutes before the procedure. For penicillin-allergic patients: clindamycin is no longer recommended; azithromycin 500 mg, cephalexin 2 g (if no history of anaphylaxis), or doxycycline 100 mg are acceptable alternatives per current AHA guidance.</w:t>
      </w:r>
    </w:p>
    <w:bookmarkEnd w:id="97"/>
    <w:bookmarkEnd w:id="98"/>
    <w:bookmarkStart w:id="112" w:name="X91d4db580a9f0a79b75960b3bd18166b2bc1136"/>
    <w:p>
      <w:pPr>
        <w:pStyle w:val="Heading1"/>
      </w:pPr>
      <w:r>
        <w:t xml:space="preserve">13. Systemic Conditions and Endodontics</w:t>
      </w:r>
    </w:p>
    <w:bookmarkStart w:id="99" w:name="X794ab3afa9f42781ced613579574368f256f0ea"/>
    <w:p>
      <w:pPr>
        <w:pStyle w:val="Heading2"/>
      </w:pPr>
      <w:r>
        <w:t xml:space="preserve">13.1 Diabetes and Endodontic Outcomes</w:t>
      </w:r>
    </w:p>
    <w:p>
      <w:pPr>
        <w:numPr>
          <w:ilvl w:val="0"/>
          <w:numId w:val="1287"/>
        </w:numPr>
        <w:pStyle w:val="Compact"/>
      </w:pPr>
      <w:r>
        <w:t xml:space="preserve">How does diabetes affect endodontic treatment outcomes?</w:t>
      </w:r>
    </w:p>
    <w:p>
      <w:pPr>
        <w:pStyle w:val="FirstParagraph"/>
      </w:pPr>
      <w:r>
        <w:t xml:space="preserve">Diabetes impairs endodontic outcomes through several interconnected mechanisms: (1) impaired neutrophil chemotaxis and phagocytosis reduce the host's ability to clear periapical infection; (2) advanced glycation end-products (AGEs) impair collagen cross-linking and tissue healing, delaying periapical bone repair; (3) microvascular disease reduces perfusion to the healing periapex; (4) peripheral neuropathy can blunt pain perception, allowing disease to progress undetected. {{cite: Fouad and Burleson 2003 — diabetic patients had approximately 3× the flare-up rate and significantly reduced periapical healing rates compared to non-diabetic controls; effect disproportionately greater with poor glycemic control (HbA1c &gt; 8%)}}. Patients with well-controlled diabetes (normal HbA1c) have outcomes approaching those of non-diabetic patients, confirming that glycemic control — not diabetes per se — is the primary determinant of prognosis.</w:t>
      </w:r>
    </w:p>
    <w:p>
      <w:pPr>
        <w:numPr>
          <w:ilvl w:val="0"/>
          <w:numId w:val="1288"/>
        </w:numPr>
        <w:pStyle w:val="Compact"/>
      </w:pPr>
      <w:r>
        <w:t xml:space="preserve">What modifications should be considered for diabetic patients?</w:t>
      </w:r>
    </w:p>
    <w:p>
      <w:pPr>
        <w:pStyle w:val="FirstParagraph"/>
      </w:pPr>
      <w:r>
        <w:t xml:space="preserve">Diabetic patients should be treated in short morning appointments after eating and taking their usual medications. Profound anesthesia with stress reduction is important. Glycemic status should be confirmed before treatment, and elective procedures postponed if the patient is poorly controlled (HbA1c &gt; 8). Antibiotic prophylaxis is not routinely indicated based on diabetes alone.</w:t>
      </w:r>
    </w:p>
    <w:p>
      <w:pPr>
        <w:numPr>
          <w:ilvl w:val="0"/>
          <w:numId w:val="1289"/>
        </w:numPr>
        <w:pStyle w:val="Compact"/>
      </w:pPr>
      <w:r>
        <w:t xml:space="preserve">How does glycemic control influence prognosis?</w:t>
      </w:r>
    </w:p>
    <w:p>
      <w:pPr>
        <w:pStyle w:val="FirstParagraph"/>
      </w:pPr>
      <w:r>
        <w:t xml:space="preserve">Poorly controlled diabetes (elevated HbA1c) is associated with higher rates of post-treatment flare-up, persistent periapical pathosis, and treatment failure. Patients with well-controlled diabetes have outcomes approaching those of non-diabetic patients.</w:t>
      </w:r>
    </w:p>
    <w:bookmarkEnd w:id="99"/>
    <w:bookmarkStart w:id="100" w:name="X329477851a2c7e2418d871824d0fb40331de9a5"/>
    <w:p>
      <w:pPr>
        <w:pStyle w:val="Heading2"/>
      </w:pPr>
      <w:r>
        <w:t xml:space="preserve">13.2 Cardiovascular Considerations</w:t>
      </w:r>
    </w:p>
    <w:p>
      <w:pPr>
        <w:numPr>
          <w:ilvl w:val="0"/>
          <w:numId w:val="1290"/>
        </w:numPr>
        <w:pStyle w:val="Compact"/>
      </w:pPr>
      <w:r>
        <w:t xml:space="preserve">What is the relationship between apical periodontitis and cardiovascular disease?</w:t>
      </w:r>
    </w:p>
    <w:p>
      <w:pPr>
        <w:pStyle w:val="FirstParagraph"/>
      </w:pPr>
      <w:r>
        <w:t xml:space="preserve">Patients with chronic apical periodontitis have 2.8x greater risk of developing coronary heart disease (Costa et al., 2014, 2024).</w:t>
      </w:r>
    </w:p>
    <w:p>
      <w:pPr>
        <w:numPr>
          <w:ilvl w:val="0"/>
          <w:numId w:val="1291"/>
        </w:numPr>
        <w:pStyle w:val="Compact"/>
      </w:pPr>
      <w:r>
        <w:t xml:space="preserve">What precautions are needed for patients on anticoagulants?</w:t>
      </w:r>
    </w:p>
    <w:p>
      <w:pPr>
        <w:pStyle w:val="FirstParagraph"/>
      </w:pPr>
      <w:r>
        <w:t xml:space="preserve">Routine non-surgical endodontic treatment can generally be performed without modifying anticoagulation. For patients on warfarin, an INR within the therapeutic range (typically ≤3.5) is acceptable for most endodontic procedures. For patients on direct oral anticoagulants (DOACs), dose interruption is not required for non-surgical work. Apical surgery may require coordination with the prescribing physician but rarely requires discontinuation of therapy.</w:t>
      </w:r>
    </w:p>
    <w:p>
      <w:pPr>
        <w:numPr>
          <w:ilvl w:val="0"/>
          <w:numId w:val="1292"/>
        </w:numPr>
        <w:pStyle w:val="Compact"/>
      </w:pPr>
      <w:r>
        <w:t xml:space="preserve">How should epinephrine use be modified in cardiac patients?</w:t>
      </w:r>
    </w:p>
    <w:p>
      <w:pPr>
        <w:pStyle w:val="FirstParagraph"/>
      </w:pPr>
      <w:r>
        <w:t xml:space="preserve">The maximum recommended epinephrine dose for cardiac patients is 0.04 mg (approximately two cartridges of 1:100,000 lidocaine with epinephrine). Use aspirating technique, avoid intravascular injection, and minimize epinephrine-containing retraction cord.</w:t>
      </w:r>
    </w:p>
    <w:bookmarkEnd w:id="100"/>
    <w:bookmarkStart w:id="101" w:name="X225f061ea6bba0c4831fcb4bb18239f53f62a45"/>
    <w:p>
      <w:pPr>
        <w:pStyle w:val="Heading2"/>
      </w:pPr>
      <w:r>
        <w:t xml:space="preserve">13.3 Sickle Cell Disease</w:t>
      </w:r>
    </w:p>
    <w:p>
      <w:pPr>
        <w:numPr>
          <w:ilvl w:val="0"/>
          <w:numId w:val="1293"/>
        </w:numPr>
        <w:pStyle w:val="Compact"/>
      </w:pPr>
      <w:r>
        <w:t xml:space="preserve">How does sickle cell disease affect pulp vitality?</w:t>
      </w:r>
    </w:p>
    <w:p>
      <w:pPr>
        <w:pStyle w:val="FirstParagraph"/>
      </w:pPr>
      <w:r>
        <w:t xml:space="preserve">Sickle cell anemia is associated with an 8.3× higher risk of spontaneous pulp necrosis {{cite: Costa 2013 — sickle cell anemia is associated with an 8.3× higher risk of spontaneous pulp necrosis compared to matched controls; microvascular occlusion is the proposed mechanism}}. Two mechanisms contribute: (1)</w:t>
      </w:r>
      <w:r>
        <w:t xml:space="preserve"> </w:t>
      </w:r>
      <w:r>
        <w:rPr>
          <w:bCs/>
          <w:b/>
        </w:rPr>
        <w:t xml:space="preserve">microvascular occlusion</w:t>
      </w:r>
      <w:r>
        <w:t xml:space="preserve"> </w:t>
      </w:r>
      <w:r>
        <w:t xml:space="preserve">— deformed sickled erythrocytes obstruct the small-caliber end-arterioles that supply the pulp (the pulp has an end-arterial circulation with no collateral flow), resulting in ischemic pulp necrosis without bacterial involvement; (2)</w:t>
      </w:r>
      <w:r>
        <w:t xml:space="preserve"> </w:t>
      </w:r>
      <w:r>
        <w:rPr>
          <w:bCs/>
          <w:b/>
        </w:rPr>
        <w:t xml:space="preserve">osseous infarction</w:t>
      </w:r>
      <w:r>
        <w:t xml:space="preserve"> </w:t>
      </w:r>
      <w:r>
        <w:t xml:space="preserve">— the alveolar bone's marrow space is susceptible to sickling during crises, producing bone infarcts adjacent to the tooth that can radiographically mimic periapical pathology. Clinicians must therefore use pulp vitality testing to distinguish true endodontic disease from a bone infarct before attributing a radiolucency to an endodontic etiology in sickle cell patients.</w:t>
      </w:r>
    </w:p>
    <w:p>
      <w:pPr>
        <w:numPr>
          <w:ilvl w:val="0"/>
          <w:numId w:val="1294"/>
        </w:numPr>
        <w:pStyle w:val="Compact"/>
      </w:pPr>
      <w:r>
        <w:t xml:space="preserve">What special considerations apply to endodontic treatment in sickle cell patients?</w:t>
      </w:r>
    </w:p>
    <w:p>
      <w:pPr>
        <w:pStyle w:val="FirstParagraph"/>
      </w:pPr>
      <w:r>
        <w:t xml:space="preserve">Appointments should be scheduled for times of good hydration and oxygenation. Stress and anxiety should be minimized because they can precipitate a sickle crisis. Profound local anesthesia is essential, and long procedures should be avoided when possible. Antibiotic prophylaxis may be considered in consultation with the hematologist for patients with functional asplenia.</w:t>
      </w:r>
    </w:p>
    <w:bookmarkEnd w:id="101"/>
    <w:bookmarkStart w:id="102" w:name="X66d7aa7770d7edb08030ed3e851af7f2083785c"/>
    <w:p>
      <w:pPr>
        <w:pStyle w:val="Heading2"/>
      </w:pPr>
      <w:r>
        <w:t xml:space="preserve">13.4 Head and Neck Radiation</w:t>
      </w:r>
    </w:p>
    <w:p>
      <w:pPr>
        <w:numPr>
          <w:ilvl w:val="0"/>
          <w:numId w:val="1295"/>
        </w:numPr>
        <w:pStyle w:val="Compact"/>
      </w:pPr>
      <w:r>
        <w:t xml:space="preserve">How does radiation therapy affect pulp testing?</w:t>
      </w:r>
    </w:p>
    <w:p>
      <w:pPr>
        <w:pStyle w:val="FirstParagraph"/>
      </w:pPr>
      <w:r>
        <w:t xml:space="preserve">Head and neck radiation reduces the tooth's response to cold sensibility testing without altering the underlying pulp histology. Clinicians should be aware that thermal testing may underestimate vitality in irradiated patients.</w:t>
      </w:r>
    </w:p>
    <w:p>
      <w:pPr>
        <w:numPr>
          <w:ilvl w:val="0"/>
          <w:numId w:val="1296"/>
        </w:numPr>
        <w:pStyle w:val="Compact"/>
      </w:pPr>
      <w:r>
        <w:t xml:space="preserve">What considerations apply to endodontic treatment in irradiated patients?</w:t>
      </w:r>
    </w:p>
    <w:p>
      <w:pPr>
        <w:pStyle w:val="FirstParagraph"/>
      </w:pPr>
      <w:r>
        <w:t xml:space="preserve">Endodontic treatment is generally preferred over extraction in previously irradiated jaws because extraction carries a risk of osteoradionecrosis. Root canal therapy should be performed atraumatically, with gentle instrumentation and avoidance of over-instrumentation past the apex.</w:t>
      </w:r>
    </w:p>
    <w:p>
      <w:pPr>
        <w:numPr>
          <w:ilvl w:val="0"/>
          <w:numId w:val="1297"/>
        </w:numPr>
        <w:pStyle w:val="Compact"/>
      </w:pPr>
      <w:r>
        <w:t xml:space="preserve">What is the risk of osteoradionecrosis with endodontic procedures?</w:t>
      </w:r>
    </w:p>
    <w:p>
      <w:pPr>
        <w:pStyle w:val="FirstParagraph"/>
      </w:pPr>
      <w:r>
        <w:t xml:space="preserve">The risk of osteoradionecrosis from routine non-surgical endodontic treatment is low, and RCT is considered safer than extraction in irradiated patients. Apical surgery in the radiation field should generally be avoided.</w:t>
      </w:r>
    </w:p>
    <w:bookmarkEnd w:id="102"/>
    <w:bookmarkStart w:id="103" w:name="X543fefd8be105d257d7b3d1e84b434812e1c5a9"/>
    <w:p>
      <w:pPr>
        <w:pStyle w:val="Heading2"/>
      </w:pPr>
      <w:r>
        <w:t xml:space="preserve">13.5 Antiresorptive Medications and MRONJ</w:t>
      </w:r>
    </w:p>
    <w:p>
      <w:pPr>
        <w:numPr>
          <w:ilvl w:val="0"/>
          <w:numId w:val="1298"/>
        </w:numPr>
        <w:pStyle w:val="Compact"/>
      </w:pPr>
      <w:r>
        <w:t xml:space="preserve">Which medications are implicated in medication-related osteonecrosis of the jaw (MRONJ)?</w:t>
      </w:r>
    </w:p>
    <w:p>
      <w:pPr>
        <w:pStyle w:val="FirstParagraph"/>
      </w:pPr>
      <w:r>
        <w:t xml:space="preserve">MRONJ is associated with antiresorptive and antiangiogenic therapies. The principal drug classes are: (1)</w:t>
      </w:r>
      <w:r>
        <w:t xml:space="preserve"> </w:t>
      </w:r>
      <w:r>
        <w:rPr>
          <w:bCs/>
          <w:b/>
        </w:rPr>
        <w:t xml:space="preserve">oral bisphosphonates</w:t>
      </w:r>
      <w:r>
        <w:t xml:space="preserve"> </w:t>
      </w:r>
      <w:r>
        <w:t xml:space="preserve">(alendronate/Fosamax, risedronate/Actonel, ibandronate/Boniva) used for osteoporosis; (2)</w:t>
      </w:r>
      <w:r>
        <w:t xml:space="preserve"> </w:t>
      </w:r>
      <w:r>
        <w:rPr>
          <w:bCs/>
          <w:b/>
        </w:rPr>
        <w:t xml:space="preserve">IV bisphosphonates</w:t>
      </w:r>
      <w:r>
        <w:t xml:space="preserve"> </w:t>
      </w:r>
      <w:r>
        <w:t xml:space="preserve">(zoledronate/Reclast/Zometa, pamidronate/Aredia) used for malignancy-related skeletal events and Paget's disease; (3)</w:t>
      </w:r>
      <w:r>
        <w:t xml:space="preserve"> </w:t>
      </w:r>
      <w:r>
        <w:rPr>
          <w:bCs/>
          <w:b/>
        </w:rPr>
        <w:t xml:space="preserve">denosumab</w:t>
      </w:r>
      <w:r>
        <w:t xml:space="preserve"> </w:t>
      </w:r>
      <w:r>
        <w:t xml:space="preserve">(Prolia for osteoporosis, Xgeva for oncology), a RANKL inhibitor; (4)</w:t>
      </w:r>
      <w:r>
        <w:t xml:space="preserve"> </w:t>
      </w:r>
      <w:r>
        <w:rPr>
          <w:bCs/>
          <w:b/>
        </w:rPr>
        <w:t xml:space="preserve">romosozumab</w:t>
      </w:r>
      <w:r>
        <w:t xml:space="preserve"> </w:t>
      </w:r>
      <w:r>
        <w:t xml:space="preserve">(Evenity), a sclerostin inhibitor; and (5)</w:t>
      </w:r>
      <w:r>
        <w:t xml:space="preserve"> </w:t>
      </w:r>
      <w:r>
        <w:rPr>
          <w:bCs/>
          <w:b/>
        </w:rPr>
        <w:t xml:space="preserve">antiangiogenics</w:t>
      </w:r>
      <w:r>
        <w:t xml:space="preserve"> </w:t>
      </w:r>
      <w:r>
        <w:t xml:space="preserve">(bevacizumab, sunitinib) which compound risk when combined with antiresorptives. The 2022 AAOMS position paper renamed BRONJ to MRONJ to reflect this expanded drug list {{cite: AAOMS 2022 — Medication-Related Osteonecrosis of the Jaw position paper}}.</w:t>
      </w:r>
    </w:p>
    <w:p>
      <w:pPr>
        <w:numPr>
          <w:ilvl w:val="0"/>
          <w:numId w:val="1299"/>
        </w:numPr>
        <w:pStyle w:val="Compact"/>
      </w:pPr>
      <w:r>
        <w:t xml:space="preserve">How does MRONJ change the endodontic treatment plan?</w:t>
      </w:r>
    </w:p>
    <w:p>
      <w:pPr>
        <w:pStyle w:val="FirstParagraph"/>
      </w:pPr>
      <w:r>
        <w:t xml:space="preserve">Non-surgical root canal treatment is the</w:t>
      </w:r>
      <w:r>
        <w:t xml:space="preserve"> </w:t>
      </w:r>
      <w:r>
        <w:rPr>
          <w:bCs/>
          <w:b/>
        </w:rPr>
        <w:t xml:space="preserve">preferred alternative to extraction</w:t>
      </w:r>
      <w:r>
        <w:t xml:space="preserve"> </w:t>
      </w:r>
      <w:r>
        <w:t xml:space="preserve">in patients on antiresorptive therapy because tooth removal is the single greatest local risk factor for MRONJ. Endodontic technique modifications: avoid over-instrumentation past the apex, minimize periapical irrigant extrusion, avoid intraligamentary injections (which can cause focal alveolar trauma), and do not perform aggressive crown lengthening or periapical surgery in high-risk patients. When extraction is unavoidable, RCT and decoronation (leaving the root in place) is a reasonable compromise.</w:t>
      </w:r>
    </w:p>
    <w:p>
      <w:pPr>
        <w:numPr>
          <w:ilvl w:val="0"/>
          <w:numId w:val="1300"/>
        </w:numPr>
        <w:pStyle w:val="Compact"/>
      </w:pPr>
      <w:r>
        <w:t xml:space="preserve">How is MRONJ risk stratified?</w:t>
      </w:r>
    </w:p>
    <w:p>
      <w:pPr>
        <w:pStyle w:val="FirstParagraph"/>
      </w:pPr>
      <w:r>
        <w:t xml:space="preserve">Risk is stratified by drug, route, duration, and indication.</w:t>
      </w:r>
      <w:r>
        <w:t xml:space="preserve"> </w:t>
      </w:r>
      <w:r>
        <w:rPr>
          <w:bCs/>
          <w:b/>
        </w:rPr>
        <w:t xml:space="preserve">Low risk:</w:t>
      </w:r>
      <w:r>
        <w:t xml:space="preserve"> </w:t>
      </w:r>
      <w:r>
        <w:t xml:space="preserve">oral bisphosphonate for osteoporosis, total exposure &lt; 4 years, no concurrent corticosteroids or antiangiogenics.</w:t>
      </w:r>
      <w:r>
        <w:t xml:space="preserve"> </w:t>
      </w:r>
      <w:r>
        <w:rPr>
          <w:bCs/>
          <w:b/>
        </w:rPr>
        <w:t xml:space="preserve">Moderate risk:</w:t>
      </w:r>
      <w:r>
        <w:t xml:space="preserve"> </w:t>
      </w:r>
      <w:r>
        <w:t xml:space="preserve">oral bisphosphonate &gt; 4 years, or any duration with concurrent corticosteroids/antiangiogenics.</w:t>
      </w:r>
      <w:r>
        <w:t xml:space="preserve"> </w:t>
      </w:r>
      <w:r>
        <w:rPr>
          <w:bCs/>
          <w:b/>
        </w:rPr>
        <w:t xml:space="preserve">High risk:</w:t>
      </w:r>
      <w:r>
        <w:t xml:space="preserve"> </w:t>
      </w:r>
      <w:r>
        <w:t xml:space="preserve">any IV bisphosphonate or denosumab for malignancy, or prior MRONJ. The cumulative incidence of MRONJ is approximately 0.1% in osteoporosis patients on oral bisphosphonates, 1% on subcutaneous denosumab for osteoporosis, and 1–15% in oncology patients on IV antiresorptives.</w:t>
      </w:r>
    </w:p>
    <w:p>
      <w:pPr>
        <w:numPr>
          <w:ilvl w:val="0"/>
          <w:numId w:val="1301"/>
        </w:numPr>
        <w:pStyle w:val="Compact"/>
      </w:pPr>
      <w:r>
        <w:t xml:space="preserve">Should antiresorptive therapy be interrupted ("drug holiday") before endodontic treatment?</w:t>
      </w:r>
    </w:p>
    <w:p>
      <w:pPr>
        <w:pStyle w:val="FirstParagraph"/>
      </w:pPr>
      <w:r>
        <w:t xml:space="preserve">Drug holidays are not indicated for non-surgical RCT. Bisphosphonates have a half-life in bone of years to decades, so short interruptions confer no meaningful risk reduction. Denosumab has a shorter biologic half-life (≈ 6 months), and oncology protocols sometimes time invasive procedures relative to dosing intervals — but this is a physician/oncologist decision, not a dental one. The safer plan is to avoid extraction whenever feasible by treating the tooth endodontically.</w:t>
      </w:r>
    </w:p>
    <w:bookmarkEnd w:id="103"/>
    <w:bookmarkStart w:id="104" w:name="X6028cf401026511cb936955add88590cdee2020"/>
    <w:p>
      <w:pPr>
        <w:pStyle w:val="Heading2"/>
      </w:pPr>
      <w:r>
        <w:t xml:space="preserve">13.6 Pregnancy</w:t>
      </w:r>
    </w:p>
    <w:p>
      <w:pPr>
        <w:numPr>
          <w:ilvl w:val="0"/>
          <w:numId w:val="1302"/>
        </w:numPr>
        <w:pStyle w:val="Compact"/>
      </w:pPr>
      <w:r>
        <w:t xml:space="preserve">When during pregnancy should elective endodontic treatment be performed?</w:t>
      </w:r>
    </w:p>
    <w:p>
      <w:pPr>
        <w:pStyle w:val="FirstParagraph"/>
      </w:pPr>
      <w:r>
        <w:t xml:space="preserve">The</w:t>
      </w:r>
      <w:r>
        <w:t xml:space="preserve"> </w:t>
      </w:r>
      <w:r>
        <w:rPr>
          <w:bCs/>
          <w:b/>
        </w:rPr>
        <w:t xml:space="preserve">second trimester</w:t>
      </w:r>
      <w:r>
        <w:t xml:space="preserve"> </w:t>
      </w:r>
      <w:r>
        <w:t xml:space="preserve">is the preferred window for elective endodontic care. The first trimester carries the highest risk to organogenesis, and the third trimester is uncomfortable for the patient (supine hypotensive syndrome from caval compression — manage by left-lateral tilt). Necessary endodontic treatment for symptomatic infection should not be deferred regardless of trimester — untreated odontogenic infection poses greater risk to mother and fetus than the treatment itself.</w:t>
      </w:r>
    </w:p>
    <w:p>
      <w:pPr>
        <w:numPr>
          <w:ilvl w:val="0"/>
          <w:numId w:val="1303"/>
        </w:numPr>
        <w:pStyle w:val="Compact"/>
      </w:pPr>
      <w:r>
        <w:t xml:space="preserve">Are dental radiographs safe during pregnancy?</w:t>
      </w:r>
    </w:p>
    <w:p>
      <w:pPr>
        <w:pStyle w:val="FirstParagraph"/>
      </w:pPr>
      <w:r>
        <w:t xml:space="preserve">Yes. A shielded periapical radiograph delivers approximately 1 µSv to the maternal abdomen, far below the 50 mSv threshold associated with fetal harm and well below daily background radiation. Use a lead apron with thyroid collar and digital sensors. CBCT should be reserved for cases where it materially changes management.</w:t>
      </w:r>
    </w:p>
    <w:p>
      <w:pPr>
        <w:numPr>
          <w:ilvl w:val="0"/>
          <w:numId w:val="1304"/>
        </w:numPr>
        <w:pStyle w:val="Compact"/>
      </w:pPr>
      <w:r>
        <w:t xml:space="preserve">Which medications are safe in pregnancy?</w:t>
      </w:r>
    </w:p>
    <w:p>
      <w:pPr>
        <w:pStyle w:val="FirstParagraph"/>
      </w:pPr>
      <w:r>
        <w:rPr>
          <w:bCs/>
          <w:b/>
        </w:rPr>
        <w:t xml:space="preserve">Local anesthetics:</w:t>
      </w:r>
      <w:r>
        <w:t xml:space="preserve"> </w:t>
      </w:r>
      <w:r>
        <w:t xml:space="preserve">lidocaine (FDA category B) is preferred. Articaine, mepivacaine, and bupivacaine are category C. Use the lowest effective dose with epinephrine (helps prolong duration and reduces total drug load).</w:t>
      </w:r>
      <w:r>
        <w:t xml:space="preserve"> </w:t>
      </w:r>
      <w:r>
        <w:rPr>
          <w:bCs/>
          <w:b/>
        </w:rPr>
        <w:t xml:space="preserve">Analgesics:</w:t>
      </w:r>
      <w:r>
        <w:t xml:space="preserve"> </w:t>
      </w:r>
      <w:r>
        <w:t xml:space="preserve">acetaminophen is first-line throughout pregnancy.</w:t>
      </w:r>
      <w:r>
        <w:t xml:space="preserve"> </w:t>
      </w:r>
      <w:r>
        <w:rPr>
          <w:bCs/>
          <w:b/>
        </w:rPr>
        <w:t xml:space="preserve">Ibuprofen and other NSAIDs</w:t>
      </w:r>
      <w:r>
        <w:t xml:space="preserve"> </w:t>
      </w:r>
      <w:r>
        <w:t xml:space="preserve">should be avoided in the third trimester (premature closure of the ductus arteriosus and oligohydramnios) and used cautiously in the first two trimesters.</w:t>
      </w:r>
      <w:r>
        <w:t xml:space="preserve"> </w:t>
      </w:r>
      <w:r>
        <w:rPr>
          <w:bCs/>
          <w:b/>
        </w:rPr>
        <w:t xml:space="preserve">Avoid aspirin</w:t>
      </w:r>
      <w:r>
        <w:t xml:space="preserve"> </w:t>
      </w:r>
      <w:r>
        <w:t xml:space="preserve">near term.</w:t>
      </w:r>
      <w:r>
        <w:t xml:space="preserve"> </w:t>
      </w:r>
      <w:r>
        <w:rPr>
          <w:bCs/>
          <w:b/>
        </w:rPr>
        <w:t xml:space="preserve">Antibiotics:</w:t>
      </w:r>
      <w:r>
        <w:t xml:space="preserve"> </w:t>
      </w:r>
      <w:r>
        <w:t xml:space="preserve">penicillins, amoxicillin, and cephalosporins are safe (category B). Clindamycin is acceptable.</w:t>
      </w:r>
      <w:r>
        <w:t xml:space="preserve"> </w:t>
      </w:r>
      <w:r>
        <w:rPr>
          <w:bCs/>
          <w:b/>
        </w:rPr>
        <w:t xml:space="preserve">Avoid tetracyclines</w:t>
      </w:r>
      <w:r>
        <w:t xml:space="preserve"> </w:t>
      </w:r>
      <w:r>
        <w:t xml:space="preserve">(tooth staining and skeletal effects on the fetus),</w:t>
      </w:r>
      <w:r>
        <w:t xml:space="preserve"> </w:t>
      </w:r>
      <w:r>
        <w:rPr>
          <w:bCs/>
          <w:b/>
        </w:rPr>
        <w:t xml:space="preserve">avoid metronidazole in the first trimester</w:t>
      </w:r>
      <w:r>
        <w:t xml:space="preserve">, and</w:t>
      </w:r>
      <w:r>
        <w:t xml:space="preserve"> </w:t>
      </w:r>
      <w:r>
        <w:rPr>
          <w:bCs/>
          <w:b/>
        </w:rPr>
        <w:t xml:space="preserve">avoid nitrous oxide in the first trimester</w:t>
      </w:r>
      <w:r>
        <w:t xml:space="preserve">.</w:t>
      </w:r>
    </w:p>
    <w:bookmarkEnd w:id="104"/>
    <w:bookmarkStart w:id="105" w:name="X655ce41724f0eee324584ba3c443c5aabdc0d44"/>
    <w:p>
      <w:pPr>
        <w:pStyle w:val="Heading2"/>
      </w:pPr>
      <w:r>
        <w:t xml:space="preserve">13.7 Immunocompromised Patients</w:t>
      </w:r>
    </w:p>
    <w:p>
      <w:pPr>
        <w:numPr>
          <w:ilvl w:val="0"/>
          <w:numId w:val="1305"/>
        </w:numPr>
        <w:pStyle w:val="Compact"/>
      </w:pPr>
      <w:r>
        <w:t xml:space="preserve">How does immunosuppression affect endodontic outcomes?</w:t>
      </w:r>
    </w:p>
    <w:p>
      <w:pPr>
        <w:pStyle w:val="FirstParagraph"/>
      </w:pPr>
      <w:r>
        <w:t xml:space="preserve">Stable, well-controlled immunosuppression (HIV with adequate CD4 count, stable transplant recipients) yields endodontic outcomes comparable to immunocompetent patients. Active immunosuppression (induction chemotherapy, acute rejection, profound neutropenia) confers higher risk of bacteremia, delayed healing, and disseminated infection, and elective treatment should be deferred when possible.</w:t>
      </w:r>
    </w:p>
    <w:p>
      <w:pPr>
        <w:numPr>
          <w:ilvl w:val="0"/>
          <w:numId w:val="1306"/>
        </w:numPr>
        <w:pStyle w:val="Compact"/>
      </w:pPr>
      <w:r>
        <w:t xml:space="preserve">What are the key parameters before treating chemotherapy patients?</w:t>
      </w:r>
    </w:p>
    <w:p>
      <w:pPr>
        <w:pStyle w:val="FirstParagraph"/>
      </w:pPr>
      <w:r>
        <w:t xml:space="preserve">Defer elective endodontic treatment until</w:t>
      </w:r>
      <w:r>
        <w:t xml:space="preserve"> </w:t>
      </w:r>
      <w:r>
        <w:rPr>
          <w:bCs/>
          <w:b/>
        </w:rPr>
        <w:t xml:space="preserve">absolute neutrophil count (ANC) &gt; 1,000–2,000 /µL</w:t>
      </w:r>
      <w:r>
        <w:t xml:space="preserve"> </w:t>
      </w:r>
      <w:r>
        <w:t xml:space="preserve">and</w:t>
      </w:r>
      <w:r>
        <w:t xml:space="preserve"> </w:t>
      </w:r>
      <w:r>
        <w:rPr>
          <w:bCs/>
          <w:b/>
        </w:rPr>
        <w:t xml:space="preserve">platelets &gt; 50,000 /µL</w:t>
      </w:r>
      <w:r>
        <w:t xml:space="preserve">. For symptomatic infection at lower counts, coordinate with the oncologist; a focal infection is generally a greater threat than treatment delivered with appropriate hematologic support. Ideally, all foci of dental infection are eliminated</w:t>
      </w:r>
      <w:r>
        <w:t xml:space="preserve"> </w:t>
      </w:r>
      <w:r>
        <w:rPr>
          <w:bCs/>
          <w:b/>
        </w:rPr>
        <w:t xml:space="preserve">before</w:t>
      </w:r>
      <w:r>
        <w:t xml:space="preserve"> </w:t>
      </w:r>
      <w:r>
        <w:t xml:space="preserve">chemotherapy begins.</w:t>
      </w:r>
    </w:p>
    <w:p>
      <w:pPr>
        <w:numPr>
          <w:ilvl w:val="0"/>
          <w:numId w:val="1307"/>
        </w:numPr>
        <w:pStyle w:val="Compact"/>
      </w:pPr>
      <w:r>
        <w:t xml:space="preserve">Is RCT preferred over extraction in immunocompromised patients?</w:t>
      </w:r>
    </w:p>
    <w:p>
      <w:pPr>
        <w:pStyle w:val="FirstParagraph"/>
      </w:pPr>
      <w:r>
        <w:t xml:space="preserve">Yes. Endodontic treatment avoids the bacteremia and delayed healing of an extraction socket and is preferred whenever the tooth is restorable. This parallels the approach used in irradiated and antiresorptive patients.</w:t>
      </w:r>
    </w:p>
    <w:p>
      <w:pPr>
        <w:numPr>
          <w:ilvl w:val="0"/>
          <w:numId w:val="1308"/>
        </w:numPr>
        <w:pStyle w:val="Compact"/>
      </w:pPr>
      <w:r>
        <w:t xml:space="preserve">When is antibiotic prophylaxis indicated for immunocompromised patients?</w:t>
      </w:r>
    </w:p>
    <w:p>
      <w:pPr>
        <w:pStyle w:val="FirstParagraph"/>
      </w:pPr>
      <w:r>
        <w:t xml:space="preserve">Decisions are individualized in consultation with the patient's physician. Routine prophylaxis is not recommended for stable HIV or controlled transplant recipients undergoing non-surgical endodontics. Prophylaxis is reasonable for severe neutropenia, recent (&lt; 6 month) transplant, active graft-versus-host disease, or functional asplenia.</w:t>
      </w:r>
    </w:p>
    <w:bookmarkEnd w:id="105"/>
    <w:bookmarkStart w:id="106" w:name="X20107237439b01483dce4b5d4b06770c48f330c"/>
    <w:p>
      <w:pPr>
        <w:pStyle w:val="Heading2"/>
      </w:pPr>
      <w:r>
        <w:t xml:space="preserve">13.8 Hypertension</w:t>
      </w:r>
    </w:p>
    <w:p>
      <w:pPr>
        <w:numPr>
          <w:ilvl w:val="0"/>
          <w:numId w:val="1309"/>
        </w:numPr>
        <w:pStyle w:val="Compact"/>
      </w:pPr>
      <w:r>
        <w:t xml:space="preserve">What blood pressure thresholds guide endodontic treatment?</w:t>
      </w:r>
    </w:p>
    <w:p>
      <w:pPr>
        <w:pStyle w:val="FirstParagraph"/>
      </w:pPr>
      <w:r>
        <w:t xml:space="preserve">Use the JNC/ASA framework:</w:t>
      </w:r>
      <w:r>
        <w:t xml:space="preserve"> </w:t>
      </w:r>
      <w:r>
        <w:rPr>
          <w:bCs/>
          <w:b/>
        </w:rPr>
        <w:t xml:space="preserve">&lt; 160/100</w:t>
      </w:r>
      <w:r>
        <w:t xml:space="preserve"> </w:t>
      </w:r>
      <w:r>
        <w:t xml:space="preserve">— proceed with routine treatment.</w:t>
      </w:r>
      <w:r>
        <w:t xml:space="preserve"> </w:t>
      </w:r>
      <w:r>
        <w:rPr>
          <w:bCs/>
          <w:b/>
        </w:rPr>
        <w:t xml:space="preserve">160–180 / 100–110</w:t>
      </w:r>
      <w:r>
        <w:t xml:space="preserve"> </w:t>
      </w:r>
      <w:r>
        <w:t xml:space="preserve">— proceed cautiously with stress reduction, monitor intra-operative BP, limit epinephrine.</w:t>
      </w:r>
      <w:r>
        <w:t xml:space="preserve"> </w:t>
      </w:r>
      <w:r>
        <w:rPr>
          <w:bCs/>
          <w:b/>
        </w:rPr>
        <w:t xml:space="preserve">&gt; 180/110</w:t>
      </w:r>
      <w:r>
        <w:t xml:space="preserve"> </w:t>
      </w:r>
      <w:r>
        <w:t xml:space="preserve">— defer elective care; treat only urgent infection with medical co-management. Always confirm with a repeat measurement — single-reading "white coat" elevation is common.</w:t>
      </w:r>
    </w:p>
    <w:p>
      <w:pPr>
        <w:numPr>
          <w:ilvl w:val="0"/>
          <w:numId w:val="1310"/>
        </w:numPr>
        <w:pStyle w:val="Compact"/>
      </w:pPr>
      <w:r>
        <w:t xml:space="preserve">How should epinephrine be modified in hypertensive and cardiac patients?</w:t>
      </w:r>
    </w:p>
    <w:p>
      <w:pPr>
        <w:pStyle w:val="FirstParagraph"/>
      </w:pPr>
      <w:r>
        <w:t xml:space="preserve">The</w:t>
      </w:r>
      <w:r>
        <w:t xml:space="preserve"> </w:t>
      </w:r>
      <w:r>
        <w:rPr>
          <w:bCs/>
          <w:b/>
        </w:rPr>
        <w:t xml:space="preserve">cardiac dose limit</w:t>
      </w:r>
      <w:r>
        <w:t xml:space="preserve"> </w:t>
      </w:r>
      <w:r>
        <w:t xml:space="preserve">is approximately</w:t>
      </w:r>
      <w:r>
        <w:t xml:space="preserve"> </w:t>
      </w:r>
      <w:r>
        <w:rPr>
          <w:bCs/>
          <w:b/>
        </w:rPr>
        <w:t xml:space="preserve">0.04 mg of epinephrine</w:t>
      </w:r>
      <w:r>
        <w:t xml:space="preserve"> </w:t>
      </w:r>
      <w:r>
        <w:t xml:space="preserve">— roughly two cartridges of 1:100,000 lidocaine with epinephrine, or one cartridge of 1:50,000. Use aspirating technique to avoid intravascular injection, and avoid epinephrine-impregnated gingival retraction cord (which delivers an unmetered systemic dose). Epinephrine should not be eliminated entirely in stable hypertensives — inadequate anesthesia produces a far greater endogenous catecholamine surge than a properly delivered 1–2 cartridges.</w:t>
      </w:r>
    </w:p>
    <w:bookmarkEnd w:id="106"/>
    <w:bookmarkStart w:id="107" w:name="Xe03f55ff0aaf9f18cbff6007c1883c6941f99b4"/>
    <w:p>
      <w:pPr>
        <w:pStyle w:val="Heading2"/>
      </w:pPr>
      <w:r>
        <w:t xml:space="preserve">13.9 Bleeding Disorders and Anticoagulation</w:t>
      </w:r>
    </w:p>
    <w:p>
      <w:pPr>
        <w:numPr>
          <w:ilvl w:val="0"/>
          <w:numId w:val="1311"/>
        </w:numPr>
        <w:pStyle w:val="Compact"/>
      </w:pPr>
      <w:r>
        <w:t xml:space="preserve">How are inherited bleeding disorders managed for endodontic treatment?</w:t>
      </w:r>
    </w:p>
    <w:p>
      <w:pPr>
        <w:pStyle w:val="FirstParagraph"/>
      </w:pPr>
      <w:r>
        <w:rPr>
          <w:bCs/>
          <w:b/>
        </w:rPr>
        <w:t xml:space="preserve">Hemophilia A and B</w:t>
      </w:r>
      <w:r>
        <w:t xml:space="preserve"> </w:t>
      </w:r>
      <w:r>
        <w:t xml:space="preserve">and</w:t>
      </w:r>
      <w:r>
        <w:t xml:space="preserve"> </w:t>
      </w:r>
      <w:r>
        <w:rPr>
          <w:bCs/>
          <w:b/>
        </w:rPr>
        <w:t xml:space="preserve">von Willebrand disease</w:t>
      </w:r>
      <w:r>
        <w:t xml:space="preserve"> </w:t>
      </w:r>
      <w:r>
        <w:t xml:space="preserve">require physician coordination and factor replacement or DDAVP for any procedure with bleeding risk. Even an inferior alveolar nerve block carries risk of deep tissue hematoma with airway compromise, so when factor levels are uncertain, prefer</w:t>
      </w:r>
      <w:r>
        <w:t xml:space="preserve"> </w:t>
      </w:r>
      <w:r>
        <w:rPr>
          <w:bCs/>
          <w:b/>
        </w:rPr>
        <w:t xml:space="preserve">buccal infiltration or intraligamentary injection</w:t>
      </w:r>
      <w:r>
        <w:t xml:space="preserve"> </w:t>
      </w:r>
      <w:r>
        <w:t xml:space="preserve">(where regional articaine is effective) over an IAN block. Non-surgical RCT itself produces minimal bleeding and is generally safe with appropriate coverage.</w:t>
      </w:r>
    </w:p>
    <w:p>
      <w:pPr>
        <w:numPr>
          <w:ilvl w:val="0"/>
          <w:numId w:val="1312"/>
        </w:numPr>
        <w:pStyle w:val="Compact"/>
      </w:pPr>
      <w:r>
        <w:t xml:space="preserve">Should antiplatelet therapy be discontinued for endodontic procedures?</w:t>
      </w:r>
    </w:p>
    <w:p>
      <w:pPr>
        <w:pStyle w:val="FirstParagraph"/>
      </w:pPr>
      <w:r>
        <w:t xml:space="preserve">No. Aspirin, clopidogrel (Plavix), and dual antiplatelet therapy should</w:t>
      </w:r>
      <w:r>
        <w:t xml:space="preserve"> </w:t>
      </w:r>
      <w:r>
        <w:rPr>
          <w:bCs/>
          <w:b/>
        </w:rPr>
        <w:t xml:space="preserve">not</w:t>
      </w:r>
      <w:r>
        <w:t xml:space="preserve"> </w:t>
      </w:r>
      <w:r>
        <w:t xml:space="preserve">be discontinued for routine endodontic treatment, including most apical surgery. The thrombotic risk of interruption (stent thrombosis, stroke, MI) outweighs the bleeding risk of continued therapy, and local hemostatic measures are typically sufficient.</w:t>
      </w:r>
    </w:p>
    <w:p>
      <w:pPr>
        <w:numPr>
          <w:ilvl w:val="0"/>
          <w:numId w:val="1313"/>
        </w:numPr>
        <w:pStyle w:val="Compact"/>
      </w:pPr>
      <w:r>
        <w:t xml:space="preserve">How are direct oral anticoagulants (DOACs) managed?</w:t>
      </w:r>
    </w:p>
    <w:p>
      <w:pPr>
        <w:pStyle w:val="FirstParagraph"/>
      </w:pPr>
      <w:r>
        <w:t xml:space="preserve">Apixaban (Eliquis), rivaroxaban (Xarelto), dabigatran (Pradaxa), and edoxaban do</w:t>
      </w:r>
      <w:r>
        <w:t xml:space="preserve"> </w:t>
      </w:r>
      <w:r>
        <w:rPr>
          <w:bCs/>
          <w:b/>
        </w:rPr>
        <w:t xml:space="preserve">not</w:t>
      </w:r>
      <w:r>
        <w:t xml:space="preserve"> </w:t>
      </w:r>
      <w:r>
        <w:t xml:space="preserve">require interruption for non-surgical endodontic treatment. For apical surgery, scheduling the procedure at the trough (just before the next dose) minimizes bleeding without requiring discontinuation. Local hemostasis with epinephrine-soaked pellets, oxidized cellulose, and primary closure is typically sufficient.</w:t>
      </w:r>
    </w:p>
    <w:bookmarkEnd w:id="107"/>
    <w:bookmarkStart w:id="108" w:name="X512d4022da1172ea7b5a9843fbf4f3b2cfc46da"/>
    <w:p>
      <w:pPr>
        <w:pStyle w:val="Heading2"/>
      </w:pPr>
      <w:r>
        <w:t xml:space="preserve">13.10 Prosthetic Joint Replacements</w:t>
      </w:r>
    </w:p>
    <w:p>
      <w:pPr>
        <w:numPr>
          <w:ilvl w:val="0"/>
          <w:numId w:val="1314"/>
        </w:numPr>
        <w:pStyle w:val="Compact"/>
      </w:pPr>
      <w:r>
        <w:t xml:space="preserve">Is antibiotic prophylaxis routinely required for patients with prosthetic joints?</w:t>
      </w:r>
    </w:p>
    <w:p>
      <w:pPr>
        <w:pStyle w:val="FirstParagraph"/>
      </w:pPr>
      <w:r>
        <w:t xml:space="preserve">No. The 2015 ADA-AAOS clinical practice guideline concluded that</w:t>
      </w:r>
      <w:r>
        <w:t xml:space="preserve"> </w:t>
      </w:r>
      <w:r>
        <w:rPr>
          <w:bCs/>
          <w:b/>
        </w:rPr>
        <w:t xml:space="preserve">routine antibiotic prophylaxis is not recommended</w:t>
      </w:r>
      <w:r>
        <w:t xml:space="preserve"> </w:t>
      </w:r>
      <w:r>
        <w:t xml:space="preserve">for dental procedures in patients with prosthetic joint implants, because there is no evidence that dental procedures cause prosthetic joint infections {{cite: ADA-AAOS 2015 — Sollecito et al., JADA — antibiotic prophylaxis is not routinely recommended for dental procedures in patients with prosthetic joint implants}}. This represented a significant departure from prior practice.</w:t>
      </w:r>
    </w:p>
    <w:p>
      <w:pPr>
        <w:numPr>
          <w:ilvl w:val="0"/>
          <w:numId w:val="1315"/>
        </w:numPr>
        <w:pStyle w:val="Compact"/>
      </w:pPr>
      <w:r>
        <w:t xml:space="preserve">When might prophylaxis still be considered?</w:t>
      </w:r>
    </w:p>
    <w:p>
      <w:pPr>
        <w:pStyle w:val="FirstParagraph"/>
      </w:pPr>
      <w:r>
        <w:t xml:space="preserve">Decisions are made jointly with the patient's orthopedic surgeon. Reasonable indications for case-by-case consideration include: immunocompromise (rheumatoid arthritis on biologics, hemophilia, prior prosthetic joint infection), uncontrolled diabetes, malignancy, or recent (typically &lt; 2 years) joint placement. When prescribed, the regimen mirrors the AHA endocarditis prophylaxis (amoxicillin 2 g PO 30–60 min before; clindamycin replaced by azithromycin or cephalexin in penicillin-allergic patients per 2021 AHA update).</w:t>
      </w:r>
    </w:p>
    <w:bookmarkEnd w:id="108"/>
    <w:bookmarkStart w:id="109" w:name="X953c07fed6519601aa42ce70ebd1d046a09d8ff"/>
    <w:p>
      <w:pPr>
        <w:pStyle w:val="Heading2"/>
      </w:pPr>
      <w:r>
        <w:t xml:space="preserve">13.11 End-Stage Renal Disease and Dialysis</w:t>
      </w:r>
    </w:p>
    <w:p>
      <w:pPr>
        <w:numPr>
          <w:ilvl w:val="0"/>
          <w:numId w:val="1316"/>
        </w:numPr>
        <w:pStyle w:val="Compact"/>
      </w:pPr>
      <w:r>
        <w:t xml:space="preserve">When should hemodialysis patients be scheduled for endodontic treatment?</w:t>
      </w:r>
    </w:p>
    <w:p>
      <w:pPr>
        <w:pStyle w:val="FirstParagraph"/>
      </w:pPr>
      <w:r>
        <w:t xml:space="preserve">Schedule treatment on</w:t>
      </w:r>
      <w:r>
        <w:t xml:space="preserve"> </w:t>
      </w:r>
      <w:r>
        <w:rPr>
          <w:bCs/>
          <w:b/>
        </w:rPr>
        <w:t xml:space="preserve">non-dialysis days, ideally the day after dialysis</w:t>
      </w:r>
      <w:r>
        <w:t xml:space="preserve">. During dialysis the patient is systemically heparinized; immediately after, residual heparin and uremic platelet dysfunction increase bleeding risk. The day between dialysis sessions offers the best balance of hemostasis and metabolic clearance.</w:t>
      </w:r>
    </w:p>
    <w:p>
      <w:pPr>
        <w:numPr>
          <w:ilvl w:val="0"/>
          <w:numId w:val="1317"/>
        </w:numPr>
        <w:pStyle w:val="Compact"/>
      </w:pPr>
      <w:r>
        <w:t xml:space="preserve">What anatomical and pharmacologic precautions are needed?</w:t>
      </w:r>
    </w:p>
    <w:p>
      <w:pPr>
        <w:pStyle w:val="FirstParagraph"/>
      </w:pPr>
      <w:r>
        <w:t xml:space="preserve">The</w:t>
      </w:r>
      <w:r>
        <w:t xml:space="preserve"> </w:t>
      </w:r>
      <w:r>
        <w:rPr>
          <w:bCs/>
          <w:b/>
        </w:rPr>
        <w:t xml:space="preserve">arteriovenous fistula or graft arm</w:t>
      </w:r>
      <w:r>
        <w:t xml:space="preserve"> </w:t>
      </w:r>
      <w:r>
        <w:t xml:space="preserve">must not be used for blood pressure cuffs, IV access, or any compression — it is the patient's lifeline. Adjust drug dosing for renal clearance:</w:t>
      </w:r>
      <w:r>
        <w:t xml:space="preserve"> </w:t>
      </w:r>
      <w:r>
        <w:rPr>
          <w:bCs/>
          <w:b/>
        </w:rPr>
        <w:t xml:space="preserve">avoid NSAIDs</w:t>
      </w:r>
      <w:r>
        <w:t xml:space="preserve"> </w:t>
      </w:r>
      <w:r>
        <w:t xml:space="preserve">entirely (nephrotoxic and antiplatelet), reduce amoxicillin frequency (e.g., q12h instead of q8h in advanced CKD), avoid tetracyclines, and reduce or avoid acyclovir and meperidine. Acetaminophen at standard doses is the analgesic of choice.</w:t>
      </w:r>
    </w:p>
    <w:p>
      <w:pPr>
        <w:numPr>
          <w:ilvl w:val="0"/>
          <w:numId w:val="1318"/>
        </w:numPr>
        <w:pStyle w:val="Compact"/>
      </w:pPr>
      <w:r>
        <w:t xml:space="preserve">Is antibiotic prophylaxis indicated for the AV fistula or graft?</w:t>
      </w:r>
    </w:p>
    <w:p>
      <w:pPr>
        <w:pStyle w:val="FirstParagraph"/>
      </w:pPr>
      <w:r>
        <w:t xml:space="preserve">Routine prophylaxis is not recommended for AV fistulas or grafts undergoing dental treatment. AV access infections from dental bacteremia have not been demonstrated. Prophylaxis may be considered for synthetic grafts in the first 6 months after placement in consultation with the nephrologist or vascular surgeon.</w:t>
      </w:r>
    </w:p>
    <w:bookmarkEnd w:id="109"/>
    <w:bookmarkStart w:id="110" w:name="X3c9fa9a1fa2b3b42e04a2b9aab9f6e4b1951d5a"/>
    <w:p>
      <w:pPr>
        <w:pStyle w:val="Heading2"/>
      </w:pPr>
      <w:r>
        <w:t xml:space="preserve">13.12 Allergies Affecting Endodontic Care</w:t>
      </w:r>
    </w:p>
    <w:p>
      <w:pPr>
        <w:numPr>
          <w:ilvl w:val="0"/>
          <w:numId w:val="1319"/>
        </w:numPr>
        <w:pStyle w:val="Compact"/>
      </w:pPr>
      <w:r>
        <w:t xml:space="preserve">How is latex allergy managed during endodontic treatment?</w:t>
      </w:r>
    </w:p>
    <w:p>
      <w:pPr>
        <w:pStyle w:val="FirstParagraph"/>
      </w:pPr>
      <w:r>
        <w:t xml:space="preserve">Use a non-latex rubber dam (nitrile or synthetic isoprene), non-latex gloves, and avoid latex-stoppered local anesthetic cartridges (most modern cartridges are latex-free, but verify). Schedule latex-allergic patients as the first appointment of the day to minimize aerosolized latex exposure.</w:t>
      </w:r>
    </w:p>
    <w:p>
      <w:pPr>
        <w:numPr>
          <w:ilvl w:val="0"/>
          <w:numId w:val="1320"/>
        </w:numPr>
        <w:pStyle w:val="Compact"/>
      </w:pPr>
      <w:r>
        <w:t xml:space="preserve">What anesthetic should be used in patients with sulfite allergy?</w:t>
      </w:r>
    </w:p>
    <w:p>
      <w:pPr>
        <w:pStyle w:val="FirstParagraph"/>
      </w:pPr>
      <w:r>
        <w:t xml:space="preserve">Vasoconstrictor-containing local anesthetics (epinephrine, levonordefrin) require</w:t>
      </w:r>
      <w:r>
        <w:t xml:space="preserve"> </w:t>
      </w:r>
      <w:r>
        <w:rPr>
          <w:bCs/>
          <w:b/>
        </w:rPr>
        <w:t xml:space="preserve">sodium metabisulfite</w:t>
      </w:r>
      <w:r>
        <w:t xml:space="preserve"> </w:t>
      </w:r>
      <w:r>
        <w:t xml:space="preserve">as an antioxidant preservative. In patients with documented sulfite allergy (often co-occurring with steroid-dependent asthma), use a plain (vasoconstrictor-free) anesthetic such as</w:t>
      </w:r>
      <w:r>
        <w:t xml:space="preserve"> </w:t>
      </w:r>
      <w:r>
        <w:rPr>
          <w:bCs/>
          <w:b/>
        </w:rPr>
        <w:t xml:space="preserve">3% mepivacaine</w:t>
      </w:r>
      <w:r>
        <w:t xml:space="preserve"> </w:t>
      </w:r>
      <w:r>
        <w:t xml:space="preserve">or</w:t>
      </w:r>
      <w:r>
        <w:t xml:space="preserve"> </w:t>
      </w:r>
      <w:r>
        <w:rPr>
          <w:bCs/>
          <w:b/>
        </w:rPr>
        <w:t xml:space="preserve">4% prilocaine</w:t>
      </w:r>
      <w:r>
        <w:t xml:space="preserve">. True allergy to the amide anesthetic itself is exceedingly rare; most reported "lidocaine allergies" are reactions to the preservative or to the epinephrine.</w:t>
      </w:r>
    </w:p>
    <w:bookmarkEnd w:id="110"/>
    <w:bookmarkStart w:id="111" w:name="X4546a2eddded079e7cd158c64287c507ca4db96"/>
    <w:p>
      <w:pPr>
        <w:pStyle w:val="Heading2"/>
      </w:pPr>
      <w:r>
        <w:t xml:space="preserve">13.13 Reciprocal Effects: Apical Periodontitis on Systemic Disease</w:t>
      </w:r>
    </w:p>
    <w:p>
      <w:pPr>
        <w:numPr>
          <w:ilvl w:val="0"/>
          <w:numId w:val="1321"/>
        </w:numPr>
        <w:pStyle w:val="Compact"/>
      </w:pPr>
      <w:r>
        <w:t xml:space="preserve">Does apical periodontitis affect systemic health?</w:t>
      </w:r>
    </w:p>
    <w:p>
      <w:pPr>
        <w:pStyle w:val="FirstParagraph"/>
      </w:pPr>
      <w:r>
        <w:t xml:space="preserve">Emerging evidence supports a bidirectional relationship between chronic apical periodontitis and systemic disease, mediated by low-grade systemic inflammation (elevated CRP, IL-6, TNF-α) and endotoxemia. Chronic apical periodontitis is associated with worsened glycemic control in diabetics, a 2.8× higher risk of coronary heart disease (Costa 2014), and adverse pregnancy outcomes in some cohorts. Endodontic treatment of apical periodontitis has been shown to produce modest reductions in HbA1c and systemic inflammatory markers, supporting timely treatment as part of systemic disease management.</w:t>
      </w:r>
    </w:p>
    <w:bookmarkEnd w:id="111"/>
    <w:bookmarkEnd w:id="112"/>
    <w:bookmarkStart w:id="116" w:name="X0c61b7a2e7e0bf2698c2026757241af010bb79f"/>
    <w:p>
      <w:pPr>
        <w:pStyle w:val="Heading1"/>
      </w:pPr>
      <w:r>
        <w:t xml:space="preserve">14. Pulp Biology and Dental Anatomy</w:t>
      </w:r>
    </w:p>
    <w:bookmarkStart w:id="113" w:name="Xd88959d3978849850ebf5b463c2ea0bd6217f9e"/>
    <w:p>
      <w:pPr>
        <w:pStyle w:val="Heading2"/>
      </w:pPr>
      <w:r>
        <w:t xml:space="preserve">14.1 Pulp Histology and Biology</w:t>
      </w:r>
    </w:p>
    <w:p>
      <w:pPr>
        <w:numPr>
          <w:ilvl w:val="0"/>
          <w:numId w:val="1322"/>
        </w:numPr>
        <w:pStyle w:val="Compact"/>
      </w:pPr>
      <w:r>
        <w:t xml:space="preserve">What is the mineral content of mature dentin?</w:t>
      </w:r>
    </w:p>
    <w:p>
      <w:pPr>
        <w:pStyle w:val="FirstParagraph"/>
      </w:pPr>
      <w:r>
        <w:t xml:space="preserve">The mineral content of mature dentin is 50%.</w:t>
      </w:r>
    </w:p>
    <w:p>
      <w:pPr>
        <w:numPr>
          <w:ilvl w:val="0"/>
          <w:numId w:val="1323"/>
        </w:numPr>
        <w:pStyle w:val="Compact"/>
      </w:pPr>
      <w:r>
        <w:t xml:space="preserve">What is the minimum remaining dentin thickness to prevent pulpal injury?</w:t>
      </w:r>
    </w:p>
    <w:p>
      <w:pPr>
        <w:pStyle w:val="FirstParagraph"/>
      </w:pPr>
      <w:r>
        <w:t xml:space="preserve">0.5 mm of remaining dentin thickness is required to cause pulpal injury (Murray, 2002; same finding by Reeves and Stanley, 1966). Stanley found that the damage from bacteria getting within 0.5 mm of the pulp is significant and irreversible.</w:t>
      </w:r>
    </w:p>
    <w:p>
      <w:pPr>
        <w:numPr>
          <w:ilvl w:val="0"/>
          <w:numId w:val="1324"/>
        </w:numPr>
        <w:pStyle w:val="Compact"/>
      </w:pPr>
      <w:r>
        <w:t xml:space="preserve">What are the zones of the pulp and their functions?</w:t>
      </w:r>
    </w:p>
    <w:p>
      <w:pPr>
        <w:pStyle w:val="FirstParagraph"/>
      </w:pPr>
      <w:r>
        <w:t xml:space="preserve">Moving from the dentin inward, the four histologic zones of the pulp are: (1) the</w:t>
      </w:r>
      <w:r>
        <w:t xml:space="preserve"> </w:t>
      </w:r>
      <w:r>
        <w:rPr>
          <w:bCs/>
          <w:b/>
        </w:rPr>
        <w:t xml:space="preserve">odontoblastic layer</w:t>
      </w:r>
      <w:r>
        <w:t xml:space="preserve">, which produces primary, secondary, and reparative dentin; (2) the</w:t>
      </w:r>
      <w:r>
        <w:t xml:space="preserve"> </w:t>
      </w:r>
      <w:r>
        <w:rPr>
          <w:bCs/>
          <w:b/>
        </w:rPr>
        <w:t xml:space="preserve">cell-free zone of Weil</w:t>
      </w:r>
      <w:r>
        <w:t xml:space="preserve">, sparsely populated with cells and containing the nerve plexus of Raschkow and capillary networks; (3) the</w:t>
      </w:r>
      <w:r>
        <w:t xml:space="preserve"> </w:t>
      </w:r>
      <w:r>
        <w:rPr>
          <w:bCs/>
          <w:b/>
        </w:rPr>
        <w:t xml:space="preserve">cell-rich zone</w:t>
      </w:r>
      <w:r>
        <w:t xml:space="preserve">, containing fibroblasts and undifferentiated mesenchymal cells that can differentiate into odontoblast-like cells following injury; and (4) the</w:t>
      </w:r>
      <w:r>
        <w:t xml:space="preserve"> </w:t>
      </w:r>
      <w:r>
        <w:rPr>
          <w:bCs/>
          <w:b/>
        </w:rPr>
        <w:t xml:space="preserve">pulp core</w:t>
      </w:r>
      <w:r>
        <w:t xml:space="preserve">, containing the main vasculature, nerves, connective tissue, and cellular elements.</w:t>
      </w:r>
    </w:p>
    <w:p>
      <w:pPr>
        <w:numPr>
          <w:ilvl w:val="0"/>
          <w:numId w:val="1325"/>
        </w:numPr>
        <w:pStyle w:val="Compact"/>
      </w:pPr>
      <w:r>
        <w:t xml:space="preserve">How does pulp respond to injury at the cellular level?</w:t>
      </w:r>
    </w:p>
    <w:p>
      <w:pPr>
        <w:pStyle w:val="FirstParagraph"/>
      </w:pPr>
      <w:r>
        <w:t xml:space="preserve">Mild injury elicits reactionary dentin formation by existing odontoblasts. Severe injury that kills odontoblasts triggers recruitment of mesenchymal stem cells from the cell-rich zone, which differentiate into odontoblast-like cells and deposit reparative (tertiary) dentin. The pulp also mounts an inflammatory response — initially innate immunity (dendritic cells, macrophages, neutrophils) followed by acquired immunity with B and T cells {{cite: Hahn and Liewehr 2007}}. Unresolved microbial challenge drives RANKL expression, activating osteoclasts and leading to periapical bone resorption.</w:t>
      </w:r>
    </w:p>
    <w:bookmarkEnd w:id="113"/>
    <w:bookmarkStart w:id="114" w:name="X37963b62c0cd080ce34d0ad4f2934b5af28a157"/>
    <w:p>
      <w:pPr>
        <w:pStyle w:val="Heading2"/>
      </w:pPr>
      <w:r>
        <w:t xml:space="preserve">14.2 Anatomical Variations and Anomalies</w:t>
      </w:r>
    </w:p>
    <w:p>
      <w:pPr>
        <w:numPr>
          <w:ilvl w:val="0"/>
          <w:numId w:val="1326"/>
        </w:numPr>
        <w:pStyle w:val="Compact"/>
      </w:pPr>
      <w:r>
        <w:t xml:space="preserve">What is the Oehlers classification of dens invaginatus?</w:t>
      </w:r>
    </w:p>
    <w:p>
      <w:pPr>
        <w:pStyle w:val="FirstParagraph"/>
      </w:pPr>
      <w:r>
        <w:t xml:space="preserve">Oehlers classified dens invaginatus into three types based on the extent of the invagination:</w:t>
      </w:r>
    </w:p>
    <w:p>
      <w:pPr>
        <w:numPr>
          <w:ilvl w:val="0"/>
          <w:numId w:val="1327"/>
        </w:numPr>
      </w:pPr>
      <w:r>
        <w:rPr>
          <w:bCs/>
          <w:b/>
        </w:rPr>
        <w:t xml:space="preserve">Type I:</w:t>
      </w:r>
      <w:r>
        <w:t xml:space="preserve"> </w:t>
      </w:r>
      <w:r>
        <w:t xml:space="preserve">invagination confined to the crown, not extending beyond the CEJ</w:t>
      </w:r>
    </w:p>
    <w:p>
      <w:pPr>
        <w:numPr>
          <w:ilvl w:val="0"/>
          <w:numId w:val="1327"/>
        </w:numPr>
      </w:pPr>
      <w:r>
        <w:rPr>
          <w:bCs/>
          <w:b/>
        </w:rPr>
        <w:t xml:space="preserve">Type II:</w:t>
      </w:r>
      <w:r>
        <w:t xml:space="preserve"> </w:t>
      </w:r>
      <w:r>
        <w:t xml:space="preserve">invagination extending apical to the CEJ into the root, ending as a blind sac but not communicating with the PDL</w:t>
      </w:r>
    </w:p>
    <w:p>
      <w:pPr>
        <w:numPr>
          <w:ilvl w:val="0"/>
          <w:numId w:val="1327"/>
        </w:numPr>
      </w:pPr>
      <w:r>
        <w:rPr>
          <w:bCs/>
          <w:b/>
        </w:rPr>
        <w:t xml:space="preserve">Type III:</w:t>
      </w:r>
      <w:r>
        <w:t xml:space="preserve"> </w:t>
      </w:r>
      <w:r>
        <w:t xml:space="preserve">invagination extending through the root and communicating with the PDL laterally (IIIa) or apically (IIIb)</w:t>
      </w:r>
    </w:p>
    <w:p>
      <w:pPr>
        <w:numPr>
          <w:ilvl w:val="0"/>
          <w:numId w:val="1327"/>
        </w:numPr>
      </w:pPr>
      <w:r>
        <w:t xml:space="preserve">What are the common anatomical variations by tooth type?</w:t>
      </w:r>
    </w:p>
    <w:p>
      <w:pPr>
        <w:pStyle w:val="FirstParagraph"/>
      </w:pPr>
      <w:r>
        <w:t xml:space="preserve">Common variations include: MB2 canals in maxillary first molars (present in 60–95%), middle mesial canals in mandibular molars (1–15%), second canals in mandibular incisors (15–40%), C-shaped canals in mandibular second molars (up to 30% in Asian populations), dens invaginatus in maxillary lateral incisors, and taurodontism.</w:t>
      </w:r>
    </w:p>
    <w:p>
      <w:pPr>
        <w:numPr>
          <w:ilvl w:val="0"/>
          <w:numId w:val="1328"/>
        </w:numPr>
        <w:pStyle w:val="Compact"/>
      </w:pPr>
      <w:r>
        <w:t xml:space="preserve">How do you identify and manage C-shaped canals?</w:t>
      </w:r>
    </w:p>
    <w:p>
      <w:pPr>
        <w:pStyle w:val="FirstParagraph"/>
      </w:pPr>
      <w:r>
        <w:t xml:space="preserve">C-shaped canals are identified pre-operatively by fused roots on radiograph, a catenary line between the mesial and distal canals on the pulp floor, and CBCT imaging. Management requires meticulous irrigation and activation because the isthmus connecting the canal components cannot be mechanically instrumented. Warm vertical or carrier-based obturation is preferred because cold lateral condensation cannot reliably fill the isthmus anatomy.</w:t>
      </w:r>
    </w:p>
    <w:bookmarkEnd w:id="114"/>
    <w:bookmarkStart w:id="115" w:name="Xf0e496ba94c40e6f18a839790113b2c52fb5269"/>
    <w:p>
      <w:pPr>
        <w:pStyle w:val="Heading2"/>
      </w:pPr>
      <w:r>
        <w:t xml:space="preserve">14.3 Periapical Pathology</w:t>
      </w:r>
    </w:p>
    <w:p>
      <w:pPr>
        <w:numPr>
          <w:ilvl w:val="0"/>
          <w:numId w:val="1329"/>
        </w:numPr>
        <w:pStyle w:val="Compact"/>
      </w:pPr>
      <w:r>
        <w:t xml:space="preserve">What is the immunologic theory of periapical cyst formation?</w:t>
      </w:r>
    </w:p>
    <w:p>
      <w:pPr>
        <w:pStyle w:val="FirstParagraph"/>
      </w:pPr>
      <w:r>
        <w:t xml:space="preserve">The immunologic theory (Torabinejad) suggests cysts increase due to inflammatory mediators stimulating epithelial cells to proliferate. This differs from the abscess theory which states cysts arise from proliferating epithelial cells around an existing abscess cavity (Nair). Ten Cate proposed the nutritional deficiency theory which states the center of a cyst necroses due to loss of nutritional supply.</w:t>
      </w:r>
    </w:p>
    <w:p>
      <w:pPr>
        <w:numPr>
          <w:ilvl w:val="0"/>
          <w:numId w:val="1330"/>
        </w:numPr>
        <w:pStyle w:val="Compact"/>
      </w:pPr>
      <w:r>
        <w:t xml:space="preserve">What are the histologic differences between periapical granuloma and cyst?</w:t>
      </w:r>
    </w:p>
    <w:p>
      <w:pPr>
        <w:pStyle w:val="FirstParagraph"/>
      </w:pPr>
      <w:r>
        <w:t xml:space="preserve">A</w:t>
      </w:r>
      <w:r>
        <w:t xml:space="preserve"> </w:t>
      </w:r>
      <w:r>
        <w:rPr>
          <w:bCs/>
          <w:b/>
        </w:rPr>
        <w:t xml:space="preserve">periapical granuloma</w:t>
      </w:r>
      <w:r>
        <w:t xml:space="preserve"> </w:t>
      </w:r>
      <w:r>
        <w:t xml:space="preserve">is composed of granulation tissue infiltrated with lymphocytes, plasma cells, macrophages, and fibroblasts, without an epithelial lining. A</w:t>
      </w:r>
      <w:r>
        <w:t xml:space="preserve"> </w:t>
      </w:r>
      <w:r>
        <w:rPr>
          <w:bCs/>
          <w:b/>
        </w:rPr>
        <w:t xml:space="preserve">periapical cyst</w:t>
      </w:r>
      <w:r>
        <w:t xml:space="preserve"> </w:t>
      </w:r>
      <w:r>
        <w:t xml:space="preserve">contains a fluid- or semi-solid–filled cavity lined by stratified squamous epithelium derived from the epithelial rests of Malassez. Nair further distinguished</w:t>
      </w:r>
      <w:r>
        <w:t xml:space="preserve"> </w:t>
      </w:r>
      <w:r>
        <w:rPr>
          <w:bCs/>
          <w:b/>
        </w:rPr>
        <w:t xml:space="preserve">pocket cysts</w:t>
      </w:r>
      <w:r>
        <w:t xml:space="preserve">, which open into the root canal and can heal with orthograde RCT, from</w:t>
      </w:r>
      <w:r>
        <w:t xml:space="preserve"> </w:t>
      </w:r>
      <w:r>
        <w:rPr>
          <w:bCs/>
          <w:b/>
        </w:rPr>
        <w:t xml:space="preserve">true cysts</w:t>
      </w:r>
      <w:r>
        <w:t xml:space="preserve">, which are fully enclosed and typically require surgical management.</w:t>
      </w:r>
    </w:p>
    <w:p>
      <w:pPr>
        <w:numPr>
          <w:ilvl w:val="0"/>
          <w:numId w:val="1331"/>
        </w:numPr>
        <w:pStyle w:val="Compact"/>
      </w:pPr>
      <w:r>
        <w:t xml:space="preserve">How does the immune response contribute to periapical pathosis?</w:t>
      </w:r>
    </w:p>
    <w:p>
      <w:pPr>
        <w:pStyle w:val="FirstParagraph"/>
      </w:pPr>
      <w:r>
        <w:t xml:space="preserve">The response begins with innate immunity (dendritic cells, macrophages, and neutrophils) and transitions to acquired immunity dominated by B and T lymphocytes {{cite: Hahn and Liewehr 2007}}. Unresolved microbial challenge drives RANKL (receptor activator of NF-κB ligand) expression, which activates osteoclasts and produces periapical bone resorption.</w:t>
      </w:r>
    </w:p>
    <w:bookmarkEnd w:id="115"/>
    <w:bookmarkEnd w:id="116"/>
    <w:bookmarkStart w:id="122" w:name="X398ff62fe144c0692b80373dbd755cf59e706bf"/>
    <w:p>
      <w:pPr>
        <w:pStyle w:val="Heading1"/>
      </w:pPr>
      <w:r>
        <w:t xml:space="preserve">15. Dental Trauma</w:t>
      </w:r>
    </w:p>
    <w:bookmarkStart w:id="117" w:name="X0072d0444bea993615a3905b9f891f56d891931"/>
    <w:p>
      <w:pPr>
        <w:pStyle w:val="Heading2"/>
      </w:pPr>
      <w:r>
        <w:t xml:space="preserve">15.0 Managing Trauma Patients</w:t>
      </w:r>
    </w:p>
    <w:p>
      <w:pPr>
        <w:pStyle w:val="FirstParagraph"/>
      </w:pPr>
      <w:r>
        <w:t xml:space="preserve">Croll et al. emphasized that the initial assessment of a dental trauma patient must include a brief neurological evaluation to rule out intracranial or cranial nerve injury before any dental treatment is initiated. Begin with an ABCD survey (Airway, Breathing, Circulation, Disability), assess alertness and orientation to person, place, and time, and perform a focused cranial nerve examination. Dental care is addressed only after the patient is medically stable.</w:t>
      </w:r>
    </w:p>
    <w:bookmarkEnd w:id="117"/>
    <w:bookmarkStart w:id="118" w:name="X2963e78de45fb9907850819d16a71e6e3e8a266"/>
    <w:p>
      <w:pPr>
        <w:pStyle w:val="Heading2"/>
      </w:pPr>
      <w:r>
        <w:t xml:space="preserve">15.1 Concussion, Subluxation, and Intrusion</w:t>
      </w:r>
    </w:p>
    <w:p>
      <w:pPr>
        <w:pStyle w:val="FirstParagraph"/>
      </w:pPr>
      <w:r>
        <w:t xml:space="preserve">Andreasen emphasized that stage of root development is the most significant prognostic factor in intrusion injuries — immature (open-apex) teeth have the best prognosis because they retain the capacity for continued root development and spontaneous re-eruption. A delay of 1 day in treating intrusion does not adversely affect outcome.</w:t>
      </w:r>
    </w:p>
    <w:bookmarkEnd w:id="118"/>
    <w:bookmarkStart w:id="119" w:name="X18c80a9572680c8c4dcdd0cc76b39e92396bae7"/>
    <w:p>
      <w:pPr>
        <w:pStyle w:val="Heading2"/>
      </w:pPr>
      <w:r>
        <w:t xml:space="preserve">15.2 Avulsion Management</w:t>
      </w:r>
    </w:p>
    <w:p>
      <w:pPr>
        <w:numPr>
          <w:ilvl w:val="0"/>
          <w:numId w:val="1332"/>
        </w:numPr>
        <w:pStyle w:val="Compact"/>
      </w:pPr>
      <w:r>
        <w:t xml:space="preserve">What is the incidence of replacement resorption after replantation?</w:t>
      </w:r>
    </w:p>
    <w:p>
      <w:pPr>
        <w:pStyle w:val="FirstParagraph"/>
      </w:pPr>
      <w:r>
        <w:t xml:space="preserve">Replacement resorption (ankylosis) is a common long-term complication after replantation of avulsed teeth, particularly when extra-alveolar dry time exceeds 60 minutes (Souza).</w:t>
      </w:r>
    </w:p>
    <w:p>
      <w:pPr>
        <w:numPr>
          <w:ilvl w:val="0"/>
          <w:numId w:val="1333"/>
        </w:numPr>
        <w:pStyle w:val="Compact"/>
      </w:pPr>
      <w:r>
        <w:t xml:space="preserve">What are the optimal storage media and extra-alveolar times?</w:t>
      </w:r>
    </w:p>
    <w:p>
      <w:pPr>
        <w:pStyle w:val="FirstParagraph"/>
      </w:pPr>
      <w:r>
        <w:t xml:space="preserve">In decreasing order of preference, suitable storage media are: Hank's Balanced Salt Solution (HBSS, ideal), cold milk, saliva, and saline. Water is the least favorable because its hypotonicity causes PDL cell lysis. Extra-alveolar time should be minimized — ideally under 15 minutes — to preserve PDL cell viability.</w:t>
      </w:r>
    </w:p>
    <w:p>
      <w:pPr>
        <w:numPr>
          <w:ilvl w:val="0"/>
          <w:numId w:val="1334"/>
        </w:numPr>
        <w:pStyle w:val="Compact"/>
      </w:pPr>
      <w:r>
        <w:t xml:space="preserve">What factors influence prognosis after replantation?</w:t>
      </w:r>
    </w:p>
    <w:p>
      <w:pPr>
        <w:pStyle w:val="FirstParagraph"/>
      </w:pPr>
      <w:r>
        <w:t xml:space="preserve">An intact, viable periodontal ligament is the single most important determinant of healing after replantation (Van Hassel). Other key factors include extra-oral dry time, storage medium, patient age, stage of root development, and promptness of replantation.</w:t>
      </w:r>
    </w:p>
    <w:bookmarkEnd w:id="119"/>
    <w:bookmarkStart w:id="120" w:name="X83d9623a7e5dc5bf3ddc93a72d1078334455bf9"/>
    <w:p>
      <w:pPr>
        <w:pStyle w:val="Heading2"/>
      </w:pPr>
      <w:r>
        <w:t xml:space="preserve">15.3 Splinting Guidelines</w:t>
      </w:r>
    </w:p>
    <w:p>
      <w:pPr>
        <w:numPr>
          <w:ilvl w:val="0"/>
          <w:numId w:val="1335"/>
        </w:numPr>
        <w:pStyle w:val="Compact"/>
      </w:pPr>
      <w:r>
        <w:t xml:space="preserve">What are the IADT guidelines for splinting?</w:t>
      </w:r>
    </w:p>
    <w:p>
      <w:pPr>
        <w:pStyle w:val="FirstParagraph"/>
      </w:pPr>
      <w:r>
        <w:t xml:space="preserve">IADT guidelines recommend a flexible, physiologic splint using a wire no thicker than 0.4 mm. Cervical (coronal third) root fractures are an exception and require rigid splinting for up to 4 months.</w:t>
      </w:r>
    </w:p>
    <w:p>
      <w:pPr>
        <w:numPr>
          <w:ilvl w:val="0"/>
          <w:numId w:val="1336"/>
        </w:numPr>
      </w:pPr>
      <w:r>
        <w:t xml:space="preserve">What is the recommended splinting duration for different injuries?</w:t>
      </w:r>
    </w:p>
    <w:p>
      <w:pPr>
        <w:numPr>
          <w:ilvl w:val="0"/>
          <w:numId w:val="1336"/>
        </w:numPr>
      </w:pPr>
      <w:r>
        <w:rPr>
          <w:bCs/>
          <w:b/>
        </w:rPr>
        <w:t xml:space="preserve">Concussion / subluxation:</w:t>
      </w:r>
      <w:r>
        <w:t xml:space="preserve"> </w:t>
      </w:r>
      <w:r>
        <w:t xml:space="preserve">no splint required</w:t>
      </w:r>
    </w:p>
    <w:p>
      <w:pPr>
        <w:numPr>
          <w:ilvl w:val="0"/>
          <w:numId w:val="1336"/>
        </w:numPr>
      </w:pPr>
      <w:r>
        <w:rPr>
          <w:bCs/>
          <w:b/>
        </w:rPr>
        <w:t xml:space="preserve">Extrusive luxation:</w:t>
      </w:r>
      <w:r>
        <w:t xml:space="preserve"> </w:t>
      </w:r>
      <w:r>
        <w:t xml:space="preserve">2 weeks, flexible</w:t>
      </w:r>
    </w:p>
    <w:p>
      <w:pPr>
        <w:numPr>
          <w:ilvl w:val="0"/>
          <w:numId w:val="1336"/>
        </w:numPr>
      </w:pPr>
      <w:r>
        <w:rPr>
          <w:bCs/>
          <w:b/>
        </w:rPr>
        <w:t xml:space="preserve">Lateral luxation:</w:t>
      </w:r>
      <w:r>
        <w:t xml:space="preserve"> </w:t>
      </w:r>
      <w:r>
        <w:t xml:space="preserve">4 weeks, flexible</w:t>
      </w:r>
    </w:p>
    <w:p>
      <w:pPr>
        <w:numPr>
          <w:ilvl w:val="0"/>
          <w:numId w:val="1336"/>
        </w:numPr>
      </w:pPr>
      <w:r>
        <w:rPr>
          <w:bCs/>
          <w:b/>
        </w:rPr>
        <w:t xml:space="preserve">Avulsion (closed apex, &lt;60 min dry time):</w:t>
      </w:r>
      <w:r>
        <w:t xml:space="preserve"> </w:t>
      </w:r>
      <w:r>
        <w:t xml:space="preserve">2 weeks, flexible</w:t>
      </w:r>
    </w:p>
    <w:p>
      <w:pPr>
        <w:numPr>
          <w:ilvl w:val="0"/>
          <w:numId w:val="1336"/>
        </w:numPr>
      </w:pPr>
      <w:r>
        <w:rPr>
          <w:bCs/>
          <w:b/>
        </w:rPr>
        <w:t xml:space="preserve">Avulsion (extended dry time):</w:t>
      </w:r>
      <w:r>
        <w:t xml:space="preserve"> </w:t>
      </w:r>
      <w:r>
        <w:t xml:space="preserve">4 weeks, flexible</w:t>
      </w:r>
    </w:p>
    <w:p>
      <w:pPr>
        <w:numPr>
          <w:ilvl w:val="0"/>
          <w:numId w:val="1336"/>
        </w:numPr>
      </w:pPr>
      <w:r>
        <w:rPr>
          <w:bCs/>
          <w:b/>
        </w:rPr>
        <w:t xml:space="preserve">Root fracture — apical or middle third:</w:t>
      </w:r>
      <w:r>
        <w:t xml:space="preserve"> </w:t>
      </w:r>
      <w:r>
        <w:t xml:space="preserve">4 weeks, flexible</w:t>
      </w:r>
    </w:p>
    <w:p>
      <w:pPr>
        <w:numPr>
          <w:ilvl w:val="0"/>
          <w:numId w:val="1336"/>
        </w:numPr>
      </w:pPr>
      <w:r>
        <w:rPr>
          <w:bCs/>
          <w:b/>
        </w:rPr>
        <w:t xml:space="preserve">Root fracture — cervical third:</w:t>
      </w:r>
      <w:r>
        <w:t xml:space="preserve"> </w:t>
      </w:r>
      <w:r>
        <w:t xml:space="preserve">up to 4 months, rigid</w:t>
      </w:r>
    </w:p>
    <w:p>
      <w:pPr>
        <w:numPr>
          <w:ilvl w:val="0"/>
          <w:numId w:val="1336"/>
        </w:numPr>
      </w:pPr>
      <w:r>
        <w:rPr>
          <w:bCs/>
          <w:b/>
        </w:rPr>
        <w:t xml:space="preserve">Alveolar fracture:</w:t>
      </w:r>
      <w:r>
        <w:t xml:space="preserve"> </w:t>
      </w:r>
      <w:r>
        <w:t xml:space="preserve">4 weeks, rigid</w:t>
      </w:r>
    </w:p>
    <w:p>
      <w:pPr>
        <w:numPr>
          <w:ilvl w:val="0"/>
          <w:numId w:val="1336"/>
        </w:numPr>
      </w:pPr>
      <w:r>
        <w:t xml:space="preserve">Does the same flexible-over-rigid principle apply to autotransplanted teeth?</w:t>
      </w:r>
    </w:p>
    <w:p>
      <w:pPr>
        <w:pStyle w:val="FirstParagraph"/>
      </w:pPr>
      <w:r>
        <w:t xml:space="preserve">Yes. Bauss (2002) assessed 76 autotransplanted immature third molar germs (72 patients) in Denmark, comparing</w:t>
      </w:r>
      <w:r>
        <w:t xml:space="preserve"> </w:t>
      </w:r>
      <w:r>
        <w:rPr>
          <w:bCs/>
          <w:b/>
        </w:rPr>
        <w:t xml:space="preserve">rigid fixation for 4 weeks</w:t>
      </w:r>
      <w:r>
        <w:t xml:space="preserve"> </w:t>
      </w:r>
      <w:r>
        <w:t xml:space="preserve">to</w:t>
      </w:r>
      <w:r>
        <w:t xml:space="preserve"> </w:t>
      </w:r>
      <w:r>
        <w:rPr>
          <w:bCs/>
          <w:b/>
        </w:rPr>
        <w:t xml:space="preserve">suture (2-0 silk) splinting for 7 days</w:t>
      </w:r>
      <w:r>
        <w:t xml:space="preserve">, with fixation method chosen by initial stability and a mean follow-up of 3.4 years. Suture splinting outperformed rigid fixation (success</w:t>
      </w:r>
      <w:r>
        <w:t xml:space="preserve"> </w:t>
      </w:r>
      <w:r>
        <w:rPr>
          <w:bCs/>
          <w:b/>
        </w:rPr>
        <w:t xml:space="preserve">92.9% vs. 73.5%</w:t>
      </w:r>
      <w:r>
        <w:t xml:space="preserve">), with the rigidly fixed teeth showing more ankylosis and pulp necrosis. All inflammatory root resorption was diagnosed within the first 6 months and all ankylosis within the first year, supporting a 6–12 month recall interval after autotransplantation {{cite: Bauss 2002 — autotransplanted third molars splinted with 2-0 silk sutures for 7 days had higher success (92.9%) and less ankylosis/pulp necrosis than rigid fixation for 4 weeks (73.5%); inflammatory resorption diagnosed within 6 months, ankylosis within 1 year}}. The clinical implication mirrors the IADT replantation principle — physiologic micro-movement during PDL healing reduces ankylosis risk; rigid immobilization promotes it.</w:t>
      </w:r>
    </w:p>
    <w:p>
      <w:pPr>
        <w:numPr>
          <w:ilvl w:val="0"/>
          <w:numId w:val="1337"/>
        </w:numPr>
        <w:pStyle w:val="Compact"/>
      </w:pPr>
      <w:r>
        <w:t xml:space="preserve">What splint material is preferred — and when do you upsize?</w:t>
      </w:r>
    </w:p>
    <w:p>
      <w:pPr>
        <w:pStyle w:val="FirstParagraph"/>
      </w:pPr>
      <w:r>
        <w:t xml:space="preserve">A monofilament fishing line bonded with flowable composite is a common flexible-splint material that satisfies the IADT requirement (≤ 0.4 mm, physiologic).</w:t>
      </w:r>
      <w:r>
        <w:t xml:space="preserve"> </w:t>
      </w:r>
      <w:r>
        <w:rPr>
          <w:bCs/>
          <w:b/>
        </w:rPr>
        <w:t xml:space="preserve">35-lb test line is the default</w:t>
      </w:r>
      <w:r>
        <w:t xml:space="preserve"> </w:t>
      </w:r>
      <w:r>
        <w:t xml:space="preserve">for most luxation injuries and avulsion replantation — it provides enough physiologic micro-movement for PDL healing while controlling the tooth.</w:t>
      </w:r>
      <w:r>
        <w:t xml:space="preserve"> </w:t>
      </w:r>
      <w:r>
        <w:rPr>
          <w:bCs/>
          <w:b/>
        </w:rPr>
        <w:t xml:space="preserve">Step up to 50-lb line</w:t>
      </w:r>
      <w:r>
        <w:t xml:space="preserve"> </w:t>
      </w:r>
      <w:r>
        <w:t xml:space="preserve">for cases with significant initial mobility or low primary stability, most notably autotransplants where the recipient socket grip is poor. Fishing line is</w:t>
      </w:r>
      <w:r>
        <w:t xml:space="preserve"> </w:t>
      </w:r>
      <w:r>
        <w:rPr>
          <w:bCs/>
          <w:b/>
        </w:rPr>
        <w:t xml:space="preserve">tooth-colored</w:t>
      </w:r>
      <w:r>
        <w:t xml:space="preserve">, which is a meaningful esthetic advantage over stainless wire in traumatized anterior teeth where the splint may be visible for 2–4 weeks.</w:t>
      </w:r>
      <w:r>
        <w:t xml:space="preserve"> </w:t>
      </w:r>
      <w:r>
        <w:rPr>
          <w:iCs/>
          <w:i/>
        </w:rPr>
        <w:t xml:space="preserve">(Expert opinion, AAE speaker.)</w:t>
      </w:r>
    </w:p>
    <w:bookmarkEnd w:id="120"/>
    <w:bookmarkStart w:id="121" w:name="X96f97bd5fb1c4cad915ec5d804f80f04bf76aca"/>
    <w:p>
      <w:pPr>
        <w:pStyle w:val="Heading2"/>
      </w:pPr>
      <w:r>
        <w:t xml:space="preserve">15.4 Replacement Resorption and Decoronation</w:t>
      </w:r>
    </w:p>
    <w:p>
      <w:pPr>
        <w:numPr>
          <w:ilvl w:val="0"/>
          <w:numId w:val="1338"/>
        </w:numPr>
        <w:pStyle w:val="Compact"/>
      </w:pPr>
      <w:r>
        <w:t xml:space="preserve">When is decoronation indicated?</w:t>
      </w:r>
    </w:p>
    <w:p>
      <w:pPr>
        <w:pStyle w:val="FirstParagraph"/>
      </w:pPr>
      <w:r>
        <w:t xml:space="preserve">Decoronation is indicated when a replanted tooth is undergoing replacement resorption and becomes infrapositioned (typically ≥1 mm) in a growing patient before the pubertal growth spurt (Malmgren). Decoronation preserves the alveolar ridge as the root resorbs, enabling eventual implant placement at skeletal maturity.</w:t>
      </w:r>
    </w:p>
    <w:p>
      <w:pPr>
        <w:numPr>
          <w:ilvl w:val="0"/>
          <w:numId w:val="1339"/>
        </w:numPr>
        <w:pStyle w:val="Compact"/>
      </w:pPr>
      <w:r>
        <w:t xml:space="preserve">What is the technique for decoronation?</w:t>
      </w:r>
    </w:p>
    <w:p>
      <w:pPr>
        <w:pStyle w:val="FirstParagraph"/>
      </w:pPr>
      <w:r>
        <w:t xml:space="preserve">The crown is removed and the root structure is reduced to approximately 2 mm below the osseous crest. The remaining root is left in place and covered with a mucoperiosteal flap. The resorbing root is gradually replaced by bone.</w:t>
      </w:r>
    </w:p>
    <w:p>
      <w:pPr>
        <w:numPr>
          <w:ilvl w:val="0"/>
          <w:numId w:val="1340"/>
        </w:numPr>
        <w:pStyle w:val="Compact"/>
      </w:pPr>
      <w:r>
        <w:t xml:space="preserve">Is decoronation successful?</w:t>
      </w:r>
    </w:p>
    <w:p>
      <w:pPr>
        <w:pStyle w:val="FirstParagraph"/>
      </w:pPr>
      <w:r>
        <w:t xml:space="preserve">Yes. A systematic review by Mohadeb found decoronation to be a reliable technique for preserving alveolar ridge volume, particularly when performed before the pubertal growth spurt.</w:t>
      </w:r>
    </w:p>
    <w:bookmarkEnd w:id="121"/>
    <w:bookmarkEnd w:id="122"/>
    <w:bookmarkStart w:id="125" w:name="X672c3c08693d6ba1bfc63daf08f7915e282fab4"/>
    <w:p>
      <w:pPr>
        <w:pStyle w:val="Heading1"/>
      </w:pPr>
      <w:r>
        <w:t xml:space="preserve">16. Differential Diagnosis and Disease Mimickers</w:t>
      </w:r>
    </w:p>
    <w:bookmarkStart w:id="123" w:name="Xa143ce6e24d64c44394707609c82eb7376e07b5"/>
    <w:p>
      <w:pPr>
        <w:pStyle w:val="Heading2"/>
      </w:pPr>
      <w:r>
        <w:t xml:space="preserve">16.1 Non-Odontogenic Pain</w:t>
      </w:r>
    </w:p>
    <w:p>
      <w:pPr>
        <w:numPr>
          <w:ilvl w:val="0"/>
          <w:numId w:val="1341"/>
        </w:numPr>
        <w:pStyle w:val="Compact"/>
      </w:pPr>
      <w:r>
        <w:t xml:space="preserve">How do you differentiate cardiac pain from dental pain?</w:t>
      </w:r>
    </w:p>
    <w:p>
      <w:pPr>
        <w:pStyle w:val="FirstParagraph"/>
      </w:pPr>
      <w:r>
        <w:t xml:space="preserve">Cardiac pain is often more pressure and burning compared to dental pain which is throbbing and aching (Kreiner).</w:t>
      </w:r>
    </w:p>
    <w:p>
      <w:pPr>
        <w:numPr>
          <w:ilvl w:val="0"/>
          <w:numId w:val="1342"/>
        </w:numPr>
        <w:pStyle w:val="Compact"/>
      </w:pPr>
      <w:r>
        <w:t xml:space="preserve">What percentage of persistent pain after RCT is non-odontogenic?</w:t>
      </w:r>
    </w:p>
    <w:p>
      <w:pPr>
        <w:pStyle w:val="FirstParagraph"/>
      </w:pPr>
      <w:r>
        <w:t xml:space="preserve">Persistent pain after root canal treatment is caused by non-odontogenic causes about half the time (Nixdorf). This is important when evaluating patients with persistent pain and to avoid performing RCT on patients without an odontogenic cause.</w:t>
      </w:r>
    </w:p>
    <w:bookmarkEnd w:id="123"/>
    <w:bookmarkStart w:id="124" w:name="X97f0d5f93248b4ed32a9687a3686a4d6a60e714"/>
    <w:p>
      <w:pPr>
        <w:pStyle w:val="Heading2"/>
      </w:pPr>
      <w:r>
        <w:t xml:space="preserve">16.2 Lesions Mimicking Endodontic Pathology</w:t>
      </w:r>
    </w:p>
    <w:p>
      <w:pPr>
        <w:numPr>
          <w:ilvl w:val="0"/>
          <w:numId w:val="1343"/>
        </w:numPr>
        <w:pStyle w:val="Compact"/>
      </w:pPr>
      <w:r>
        <w:t xml:space="preserve">What lesions can mimic periapical pathology?</w:t>
      </w:r>
    </w:p>
    <w:p>
      <w:pPr>
        <w:pStyle w:val="FirstParagraph"/>
      </w:pPr>
      <w:r>
        <w:t xml:space="preserve">Ameloblastomas can appear like endodontic radiolucencies - most often in the posterior mandible. Brown tumors of hyperparathyroidism can cause multiple PARLs and a ground-glass appearance around vital teeth. Nasopalatine duct cysts could mimic endodontic pathology - they appear as heart-shaped radiolucencies at the midline.</w:t>
      </w:r>
    </w:p>
    <w:p>
      <w:pPr>
        <w:numPr>
          <w:ilvl w:val="0"/>
          <w:numId w:val="1344"/>
        </w:numPr>
        <w:pStyle w:val="Compact"/>
      </w:pPr>
      <w:r>
        <w:t xml:space="preserve">How do you differentiate true endodontic pathology from mimickers?</w:t>
      </w:r>
    </w:p>
    <w:p>
      <w:pPr>
        <w:pStyle w:val="FirstParagraph"/>
      </w:pPr>
      <w:r>
        <w:t xml:space="preserve">The decisive test is pulp vitality. A vital pulp response in a tooth associated with a radiolucency strongly argues against an endodontic origin and should prompt evaluation for a non-endodontic lesion. Other helpful features include: lesion location (midline nasopalatine duct cyst, multiple radiolucencies in brown tumors, posterior mandible for ameloblastoma), the relationship of the lesion to the root apex (endodontic lesions are centered on the apex), and the presence or absence of symptoms. Biopsy is indicated whenever the diagnosis is uncertain or the lesion has atypical features.</w:t>
      </w:r>
    </w:p>
    <w:bookmarkEnd w:id="124"/>
    <w:bookmarkEnd w:id="125"/>
    <w:bookmarkStart w:id="130" w:name="Xf0134d8a5011085b24446e661f7da58928bf31f"/>
    <w:p>
      <w:pPr>
        <w:pStyle w:val="Heading1"/>
      </w:pPr>
      <w:r>
        <w:t xml:space="preserve">17. High-Yield Board Review Topics</w:t>
      </w:r>
    </w:p>
    <w:bookmarkStart w:id="126" w:name="Xe5e9a210c80fed8daa7527da0bb110f9508dc7a"/>
    <w:p>
      <w:pPr>
        <w:pStyle w:val="Heading2"/>
      </w:pPr>
      <w:r>
        <w:t xml:space="preserve">17.1 Trauma Quick Reference</w:t>
      </w:r>
    </w:p>
    <w:p>
      <w:pPr>
        <w:numPr>
          <w:ilvl w:val="0"/>
          <w:numId w:val="1345"/>
        </w:numPr>
        <w:pStyle w:val="Compact"/>
      </w:pPr>
      <w:r>
        <w:t xml:space="preserve">What should you do first in a case of dental trauma?</w:t>
      </w:r>
    </w:p>
    <w:p>
      <w:pPr>
        <w:pStyle w:val="FirstParagraph"/>
      </w:pPr>
      <w:r>
        <w:t xml:space="preserve">Perform a cranial nerve examination and neurological assessment before any dental treatment (Croll).</w:t>
      </w:r>
    </w:p>
    <w:p>
      <w:pPr>
        <w:numPr>
          <w:ilvl w:val="0"/>
          <w:numId w:val="1346"/>
        </w:numPr>
        <w:pStyle w:val="Compact"/>
      </w:pPr>
      <w:r>
        <w:t xml:space="preserve">How likely is a tooth to become necrotic after an uncomplicated crown fracture?</w:t>
      </w:r>
    </w:p>
    <w:p>
      <w:pPr>
        <w:pStyle w:val="FirstParagraph"/>
      </w:pPr>
      <w:r>
        <w:t xml:space="preserve">Approximately 6% of uncomplicated crown fractures progress to pulp necrosis.</w:t>
      </w:r>
    </w:p>
    <w:p>
      <w:pPr>
        <w:numPr>
          <w:ilvl w:val="0"/>
          <w:numId w:val="1347"/>
        </w:numPr>
        <w:pStyle w:val="Compact"/>
      </w:pPr>
      <w:r>
        <w:t xml:space="preserve">How successful are Cvek pulpotomies?</w:t>
      </w:r>
    </w:p>
    <w:p>
      <w:pPr>
        <w:pStyle w:val="FirstParagraph"/>
      </w:pPr>
      <w:r>
        <w:t xml:space="preserve">96% success rate (Cvek).</w:t>
      </w:r>
    </w:p>
    <w:p>
      <w:pPr>
        <w:numPr>
          <w:ilvl w:val="0"/>
          <w:numId w:val="1348"/>
        </w:numPr>
        <w:pStyle w:val="Compact"/>
      </w:pPr>
      <w:r>
        <w:t xml:space="preserve">How successful is treating only the coronal portion of a horizontal root fracture?</w:t>
      </w:r>
    </w:p>
    <w:p>
      <w:pPr>
        <w:pStyle w:val="FirstParagraph"/>
      </w:pPr>
      <w:r>
        <w:t xml:space="preserve">86% success rate when the coronal segment is treated and the apical segment is left undisturbed (Cvek).</w:t>
      </w:r>
    </w:p>
    <w:p>
      <w:pPr>
        <w:numPr>
          <w:ilvl w:val="0"/>
          <w:numId w:val="1349"/>
        </w:numPr>
        <w:pStyle w:val="Compact"/>
      </w:pPr>
      <w:r>
        <w:t xml:space="preserve">If there is a horizontal root fracture, what is the chance the coronal segment becomes necrotic?</w:t>
      </w:r>
    </w:p>
    <w:p>
      <w:pPr>
        <w:pStyle w:val="FirstParagraph"/>
      </w:pPr>
      <w:r>
        <w:t xml:space="preserve">22% (Andreasen).</w:t>
      </w:r>
    </w:p>
    <w:p>
      <w:pPr>
        <w:numPr>
          <w:ilvl w:val="0"/>
          <w:numId w:val="1350"/>
        </w:numPr>
      </w:pPr>
      <w:r>
        <w:t xml:space="preserve">According to Andreasen, what is the incidence of pulp necrosis for different luxation injuries?</w:t>
      </w:r>
    </w:p>
    <w:p>
      <w:pPr>
        <w:numPr>
          <w:ilvl w:val="0"/>
          <w:numId w:val="1350"/>
        </w:numPr>
      </w:pPr>
      <w:r>
        <w:t xml:space="preserve">Intrusion: 85%</w:t>
      </w:r>
    </w:p>
    <w:p>
      <w:pPr>
        <w:numPr>
          <w:ilvl w:val="0"/>
          <w:numId w:val="1350"/>
        </w:numPr>
      </w:pPr>
      <w:r>
        <w:t xml:space="preserve">Lateral luxation: 58%</w:t>
      </w:r>
    </w:p>
    <w:p>
      <w:pPr>
        <w:numPr>
          <w:ilvl w:val="0"/>
          <w:numId w:val="1350"/>
        </w:numPr>
      </w:pPr>
      <w:r>
        <w:t xml:space="preserve">Extrusive luxation: 26%</w:t>
      </w:r>
    </w:p>
    <w:p>
      <w:pPr>
        <w:numPr>
          <w:ilvl w:val="0"/>
          <w:numId w:val="1350"/>
        </w:numPr>
      </w:pPr>
      <w:r>
        <w:t xml:space="preserve">Subluxation: 6%</w:t>
      </w:r>
    </w:p>
    <w:p>
      <w:pPr>
        <w:numPr>
          <w:ilvl w:val="0"/>
          <w:numId w:val="1350"/>
        </w:numPr>
      </w:pPr>
      <w:r>
        <w:t xml:space="preserve">Concussion: 3%</w:t>
      </w:r>
    </w:p>
    <w:p>
      <w:pPr>
        <w:numPr>
          <w:ilvl w:val="0"/>
          <w:numId w:val="1350"/>
        </w:numPr>
      </w:pPr>
      <w:r>
        <w:t xml:space="preserve">Do you have to perform a root canal on an avulsed open-apex tooth replanted within 1 hour of dry time?</w:t>
      </w:r>
    </w:p>
    <w:p>
      <w:pPr>
        <w:pStyle w:val="FirstParagraph"/>
      </w:pPr>
      <w:r>
        <w:t xml:space="preserve">No — open-apex teeth replanted promptly may revascularize and remain vital.</w:t>
      </w:r>
    </w:p>
    <w:p>
      <w:pPr>
        <w:numPr>
          <w:ilvl w:val="0"/>
          <w:numId w:val="1351"/>
        </w:numPr>
        <w:pStyle w:val="Compact"/>
      </w:pPr>
      <w:r>
        <w:t xml:space="preserve">What can you do to the root of an avulsed tooth with a closed apex and extended (&gt;1 hour) dry time before replanting?</w:t>
      </w:r>
    </w:p>
    <w:p>
      <w:pPr>
        <w:pStyle w:val="FirstParagraph"/>
      </w:pPr>
      <w:r>
        <w:t xml:space="preserve">Soak the root in 2% stannous fluoride prior to replantation to slow replacement resorption.</w:t>
      </w:r>
    </w:p>
    <w:p>
      <w:pPr>
        <w:numPr>
          <w:ilvl w:val="0"/>
          <w:numId w:val="1352"/>
        </w:numPr>
        <w:pStyle w:val="Compact"/>
      </w:pPr>
      <w:r>
        <w:t xml:space="preserve">According to Andreasen, what is the risk of resorption after replantation if the tooth is replanted in under 30 minutes vs. over 90 minutes?</w:t>
      </w:r>
    </w:p>
    <w:p>
      <w:pPr>
        <w:pStyle w:val="FirstParagraph"/>
      </w:pPr>
      <w:r>
        <w:t xml:space="preserve">Approximately 10% risk of resorption if replanted under 30 minutes; resorption is nearly certain if dry time exceeds 90 minutes.</w:t>
      </w:r>
    </w:p>
    <w:p>
      <w:pPr>
        <w:numPr>
          <w:ilvl w:val="0"/>
          <w:numId w:val="1353"/>
        </w:numPr>
        <w:pStyle w:val="Compact"/>
      </w:pPr>
      <w:r>
        <w:t xml:space="preserve">Is the tooth socket itself important when replanting?</w:t>
      </w:r>
    </w:p>
    <w:p>
      <w:pPr>
        <w:pStyle w:val="FirstParagraph"/>
      </w:pPr>
      <w:r>
        <w:t xml:space="preserve">No. Oswald replanted monkey teeth into surgically created sockets and demonstrated that healing does not depend on the original socket being preserved.</w:t>
      </w:r>
    </w:p>
    <w:p>
      <w:pPr>
        <w:numPr>
          <w:ilvl w:val="0"/>
          <w:numId w:val="1354"/>
        </w:numPr>
        <w:pStyle w:val="Compact"/>
      </w:pPr>
      <w:r>
        <w:t xml:space="preserve">What does the AAE recommend for follow-up intervals after trauma?</w:t>
      </w:r>
    </w:p>
    <w:p>
      <w:pPr>
        <w:pStyle w:val="FirstParagraph"/>
      </w:pPr>
      <w:r>
        <w:t xml:space="preserve">2 weeks, 4 weeks, 6–8 weeks, 6 months, 1 year, and 5 years.</w:t>
      </w:r>
    </w:p>
    <w:p>
      <w:pPr>
        <w:numPr>
          <w:ilvl w:val="0"/>
          <w:numId w:val="1355"/>
        </w:numPr>
        <w:pStyle w:val="Compact"/>
      </w:pPr>
      <w:r>
        <w:t xml:space="preserve">For luxated teeth, how likely is pulp canal obliteration (PCO), and what fraction of PCO teeth become necrotic?</w:t>
      </w:r>
    </w:p>
    <w:p>
      <w:pPr>
        <w:pStyle w:val="FirstParagraph"/>
      </w:pPr>
      <w:r>
        <w:t xml:space="preserve">Approximately 40% of luxated teeth develop PCO; 7% of teeth that develop PCO subsequently become necrotic.</w:t>
      </w:r>
    </w:p>
    <w:p>
      <w:pPr>
        <w:numPr>
          <w:ilvl w:val="0"/>
          <w:numId w:val="1356"/>
        </w:numPr>
        <w:pStyle w:val="Compact"/>
      </w:pPr>
      <w:r>
        <w:t xml:space="preserve">What injury factors are most associated with pulp necrosis?</w:t>
      </w:r>
    </w:p>
    <w:p>
      <w:pPr>
        <w:pStyle w:val="FirstParagraph"/>
      </w:pPr>
      <w:r>
        <w:t xml:space="preserve">Extent of injury, patient age and stage of tooth development, and late-onset necrosis (Andreasen). Transient apical breakdown is a normal finding and does not necessarily indicate necrosis.</w:t>
      </w:r>
    </w:p>
    <w:p>
      <w:pPr>
        <w:numPr>
          <w:ilvl w:val="0"/>
          <w:numId w:val="1357"/>
        </w:numPr>
        <w:pStyle w:val="Compact"/>
      </w:pPr>
      <w:r>
        <w:t xml:space="preserve">How do you confirm that a tooth is ankylosed?</w:t>
      </w:r>
    </w:p>
    <w:p>
      <w:pPr>
        <w:pStyle w:val="FirstParagraph"/>
      </w:pPr>
      <w:r>
        <w:t xml:space="preserve">Andersson found that a high-pitched metallic percussion sound and lack of physiologic mobility are the most reliable clinical indicators of ankylosis.</w:t>
      </w:r>
    </w:p>
    <w:p>
      <w:pPr>
        <w:numPr>
          <w:ilvl w:val="0"/>
          <w:numId w:val="1358"/>
        </w:numPr>
        <w:pStyle w:val="Compact"/>
      </w:pPr>
      <w:r>
        <w:t xml:space="preserve">How does systemic tetracycline compare to amoxicillin for avulsion management, and what are the absolute contraindications to tetracycline?</w:t>
      </w:r>
    </w:p>
    <w:p>
      <w:pPr>
        <w:pStyle w:val="FirstParagraph"/>
      </w:pPr>
      <w:r>
        <w:t xml:space="preserve">Systemic tetracycline is superior to amoxicillin and placebo for preventing replacement resorption after avulsion (Sae-Lim). Tetracycline is absolutely contraindicated in children and pregnant patients.</w:t>
      </w:r>
    </w:p>
    <w:bookmarkEnd w:id="126"/>
    <w:bookmarkStart w:id="127" w:name="X72496872302e136e2899e5cd0d57184a879f130"/>
    <w:p>
      <w:pPr>
        <w:pStyle w:val="Heading2"/>
      </w:pPr>
      <w:r>
        <w:t xml:space="preserve">17.2 Resorption</w:t>
      </w:r>
    </w:p>
    <w:p>
      <w:pPr>
        <w:numPr>
          <w:ilvl w:val="0"/>
          <w:numId w:val="1359"/>
        </w:numPr>
        <w:pStyle w:val="Compact"/>
      </w:pPr>
      <w:r>
        <w:t xml:space="preserve">What causes internal resorption, and what are the success rates for treatment of perforated and non-perforated lesions?</w:t>
      </w:r>
    </w:p>
    <w:p>
      <w:pPr>
        <w:pStyle w:val="FirstParagraph"/>
      </w:pPr>
      <w:r>
        <w:t xml:space="preserve">Internal resorption involves loss of the protective predentin layer, allowing clastic cells to access and resorb root dentin. Treatment is with long-term calcium hydroxide followed by obturation with MTA or a bioceramic. Caliskan reported 100% success for non-perforating lesions vs. 25% for perforated lesions (small sample size, long-term CaOH).</w:t>
      </w:r>
    </w:p>
    <w:p>
      <w:pPr>
        <w:numPr>
          <w:ilvl w:val="0"/>
          <w:numId w:val="1360"/>
        </w:numPr>
        <w:pStyle w:val="Compact"/>
      </w:pPr>
      <w:r>
        <w:t xml:space="preserve">What is TCA and how does it work?</w:t>
      </w:r>
    </w:p>
    <w:p>
      <w:pPr>
        <w:pStyle w:val="FirstParagraph"/>
      </w:pPr>
      <w:r>
        <w:t xml:space="preserve">Trichloroacetic acid (TCA) deactivates clastic cells on the resorptive front via coagulative necrosis of soft tissue.</w:t>
      </w:r>
    </w:p>
    <w:p>
      <w:pPr>
        <w:numPr>
          <w:ilvl w:val="0"/>
          <w:numId w:val="1361"/>
        </w:numPr>
        <w:pStyle w:val="Compact"/>
      </w:pPr>
      <w:r>
        <w:t xml:space="preserve">What is the classification system for invasive cervical resorption?</w:t>
      </w:r>
    </w:p>
    <w:p>
      <w:pPr>
        <w:pStyle w:val="FirstParagraph"/>
      </w:pPr>
      <w:r>
        <w:t xml:space="preserve">Heithersay's classification is the most widely used system:</w:t>
      </w:r>
    </w:p>
    <w:p>
      <w:pPr>
        <w:numPr>
          <w:ilvl w:val="0"/>
          <w:numId w:val="1362"/>
        </w:numPr>
      </w:pPr>
      <w:r>
        <w:rPr>
          <w:bCs/>
          <w:b/>
        </w:rPr>
        <w:t xml:space="preserve">Class I and II:</w:t>
      </w:r>
      <w:r>
        <w:t xml:space="preserve"> </w:t>
      </w:r>
      <w:r>
        <w:t xml:space="preserve">small, localized lesions</w:t>
      </w:r>
    </w:p>
    <w:p>
      <w:pPr>
        <w:numPr>
          <w:ilvl w:val="0"/>
          <w:numId w:val="1362"/>
        </w:numPr>
      </w:pPr>
      <w:r>
        <w:rPr>
          <w:bCs/>
          <w:b/>
        </w:rPr>
        <w:t xml:space="preserve">Class III:</w:t>
      </w:r>
      <w:r>
        <w:t xml:space="preserve"> </w:t>
      </w:r>
      <w:r>
        <w:t xml:space="preserve">moderate lesions extending into the coronal third of the root</w:t>
      </w:r>
    </w:p>
    <w:p>
      <w:pPr>
        <w:numPr>
          <w:ilvl w:val="0"/>
          <w:numId w:val="1362"/>
        </w:numPr>
      </w:pPr>
      <w:r>
        <w:rPr>
          <w:bCs/>
          <w:b/>
        </w:rPr>
        <w:t xml:space="preserve">Class IV:</w:t>
      </w:r>
      <w:r>
        <w:t xml:space="preserve"> </w:t>
      </w:r>
      <w:r>
        <w:t xml:space="preserve">extensive lesions extending past the coronal third</w:t>
      </w:r>
    </w:p>
    <w:p>
      <w:pPr>
        <w:numPr>
          <w:ilvl w:val="0"/>
          <w:numId w:val="1362"/>
        </w:numPr>
      </w:pPr>
      <w:r>
        <w:t xml:space="preserve">What is the treatment for invasive cervical resorption and how successful is it?</w:t>
      </w:r>
    </w:p>
    <w:p>
      <w:pPr>
        <w:pStyle w:val="FirstParagraph"/>
      </w:pPr>
      <w:r>
        <w:t xml:space="preserve">Treatment protocol: isolate with glycerin to protect the gingiva, mechanically debride with bur and curette, apply 90% TCA to inactivate resorptive cells, and restore with a bioactive material such as Geristore. Non-surgical root canal treatment may or may not be needed since the predentin often remains intact and the pulp is protected. Heithersay's reported success rates:</w:t>
      </w:r>
    </w:p>
    <w:p>
      <w:pPr>
        <w:numPr>
          <w:ilvl w:val="0"/>
          <w:numId w:val="1363"/>
        </w:numPr>
      </w:pPr>
      <w:r>
        <w:rPr>
          <w:bCs/>
          <w:b/>
        </w:rPr>
        <w:t xml:space="preserve">Class I and II:</w:t>
      </w:r>
      <w:r>
        <w:t xml:space="preserve"> </w:t>
      </w:r>
      <w:r>
        <w:t xml:space="preserve">100%</w:t>
      </w:r>
    </w:p>
    <w:p>
      <w:pPr>
        <w:numPr>
          <w:ilvl w:val="0"/>
          <w:numId w:val="1363"/>
        </w:numPr>
      </w:pPr>
      <w:r>
        <w:rPr>
          <w:bCs/>
          <w:b/>
        </w:rPr>
        <w:t xml:space="preserve">Class III:</w:t>
      </w:r>
      <w:r>
        <w:t xml:space="preserve"> </w:t>
      </w:r>
      <w:r>
        <w:t xml:space="preserve">78%</w:t>
      </w:r>
    </w:p>
    <w:p>
      <w:pPr>
        <w:numPr>
          <w:ilvl w:val="0"/>
          <w:numId w:val="1363"/>
        </w:numPr>
      </w:pPr>
      <w:r>
        <w:rPr>
          <w:bCs/>
          <w:b/>
        </w:rPr>
        <w:t xml:space="preserve">Class IV:</w:t>
      </w:r>
      <w:r>
        <w:t xml:space="preserve"> </w:t>
      </w:r>
      <w:r>
        <w:t xml:space="preserve">12%</w:t>
      </w:r>
    </w:p>
    <w:p>
      <w:pPr>
        <w:numPr>
          <w:ilvl w:val="0"/>
          <w:numId w:val="1363"/>
        </w:numPr>
      </w:pPr>
      <w:r>
        <w:t xml:space="preserve">What causes invasive cervical resorption (also called ECRR)?</w:t>
      </w:r>
    </w:p>
    <w:p>
      <w:pPr>
        <w:pStyle w:val="FirstParagraph"/>
      </w:pPr>
      <w:r>
        <w:t xml:space="preserve">The most commonly identified etiologic factors are orthodontic treatment, dental trauma, and internal bleaching.</w:t>
      </w:r>
    </w:p>
    <w:bookmarkEnd w:id="127"/>
    <w:bookmarkStart w:id="128" w:name="Xf00d780c88e798a3691bdf50652014788906641"/>
    <w:p>
      <w:pPr>
        <w:pStyle w:val="Heading2"/>
      </w:pPr>
      <w:r>
        <w:t xml:space="preserve">17.3 Pulpal Pathology and Immunology</w:t>
      </w:r>
    </w:p>
    <w:p>
      <w:pPr>
        <w:numPr>
          <w:ilvl w:val="0"/>
          <w:numId w:val="1364"/>
        </w:numPr>
        <w:pStyle w:val="Compact"/>
      </w:pPr>
      <w:r>
        <w:t xml:space="preserve">IgG and helper T cells predominate during the early active phase of periapical lesion development.</w:t>
      </w:r>
    </w:p>
    <w:p>
      <w:pPr>
        <w:numPr>
          <w:ilvl w:val="0"/>
          <w:numId w:val="1364"/>
        </w:numPr>
        <w:pStyle w:val="Compact"/>
      </w:pPr>
      <w:r>
        <w:rPr>
          <w:bCs/>
          <w:b/>
        </w:rPr>
        <w:t xml:space="preserve">Anachoresis</w:t>
      </w:r>
      <w:r>
        <w:t xml:space="preserve"> </w:t>
      </w:r>
      <w:r>
        <w:t xml:space="preserve">is the theory that circulating bacteria are attracted to and localize in areas of chronic inflammation such as an untreated canal. This was refuted by Delivanis, who induced bacteremia in animals and found that bacteria did not seed into empty canal spaces.</w:t>
      </w:r>
    </w:p>
    <w:p>
      <w:pPr>
        <w:numPr>
          <w:ilvl w:val="0"/>
          <w:numId w:val="1364"/>
        </w:numPr>
        <w:pStyle w:val="Compact"/>
      </w:pPr>
      <w:r>
        <w:t xml:space="preserve">Nair's landmark histologic study of periapical biopsies found that 50% were granulomas, 35% were abscesses, and 15% were cysts. This contradicted the earlier belief that roughly half of periapical lesions were cysts. Nair further distinguished "pocket cysts" (which communicate with the canal and can heal after orthograde RCT) from "true cysts" (which are self-contained and typically require surgical management to resolve).</w:t>
      </w:r>
    </w:p>
    <w:bookmarkEnd w:id="128"/>
    <w:bookmarkStart w:id="129" w:name="Xd38dfa525c21587fd4ffa04be271e4de26b8325"/>
    <w:p>
      <w:pPr>
        <w:pStyle w:val="Heading2"/>
      </w:pPr>
      <w:r>
        <w:t xml:space="preserve">17.4 Coronal Seal and Restoration Timing</w:t>
      </w:r>
    </w:p>
    <w:p>
      <w:pPr>
        <w:pStyle w:val="FirstParagraph"/>
      </w:pPr>
      <w:r>
        <w:t xml:space="preserve">Oral fluids can reach the apex within 3 days of exposure to the oral environment if no coronal seal is present (Swanson and Madison). This finding supports the routine use of an orifice barrier and same-day core placement.</w:t>
      </w:r>
    </w:p>
    <w:bookmarkEnd w:id="129"/>
    <w:bookmarkEnd w:id="130"/>
    <w:bookmarkStart w:id="146" w:name="references"/>
    <w:p>
      <w:pPr>
        <w:pStyle w:val="Heading1"/>
      </w:pPr>
      <w:r>
        <w:t xml:space="preserve">References</w:t>
      </w:r>
    </w:p>
    <w:bookmarkStart w:id="131" w:name="pulp-testing-and-diagnosis"/>
    <w:p>
      <w:pPr>
        <w:pStyle w:val="Heading2"/>
      </w:pPr>
      <w:r>
        <w:t xml:space="preserve">Pulp Testing and Diagnosis</w:t>
      </w:r>
    </w:p>
    <w:p>
      <w:pPr>
        <w:pStyle w:val="FirstParagraph"/>
      </w:pPr>
      <w:r>
        <w:t xml:space="preserve">Mainkar A, Kim SG. Diagnostic Accuracy of 5 Dental Pulp Tests: A Systematic Review and Meta-analysis. J Endod 2018;44(5):694-702.</w:t>
      </w:r>
    </w:p>
    <w:p>
      <w:pPr>
        <w:pStyle w:val="BodyText"/>
      </w:pPr>
      <w:r>
        <w:t xml:space="preserve">Ricucci D, Loghin S, Siqueira JF Jr. Correlation between clinical and histologic pulp diagnoses. J Endod 2014;40(12):1932-9.</w:t>
      </w:r>
    </w:p>
    <w:p>
      <w:pPr>
        <w:pStyle w:val="BodyText"/>
      </w:pPr>
      <w:r>
        <w:t xml:space="preserve">Ketterl W. Differential diagnosis of pulpal involvement. Quintessence Int 1990;21(1):53-61.</w:t>
      </w:r>
    </w:p>
    <w:p>
      <w:pPr>
        <w:pStyle w:val="BodyText"/>
      </w:pPr>
      <w:r>
        <w:t xml:space="preserve">Andreasen FM, Zhijie Y, Thomsen BL. Occurrence of pulp canal obliteration after luxation injuries. Endod Dent Traumatol 1987;3(3):103-115.</w:t>
      </w:r>
    </w:p>
    <w:p>
      <w:pPr>
        <w:pStyle w:val="BodyText"/>
      </w:pPr>
      <w:r>
        <w:t xml:space="preserve">Wilson BL, et al. Safety of electronic apex locators and pulp testers in patients with pacemakers. J Endod 2006;32(9):847-52.</w:t>
      </w:r>
    </w:p>
    <w:bookmarkEnd w:id="131"/>
    <w:bookmarkStart w:id="132" w:name="radiographic-and-cbct-diagnosis"/>
    <w:p>
      <w:pPr>
        <w:pStyle w:val="Heading2"/>
      </w:pPr>
      <w:r>
        <w:t xml:space="preserve">Radiographic and CBCT Diagnosis</w:t>
      </w:r>
    </w:p>
    <w:p>
      <w:pPr>
        <w:pStyle w:val="FirstParagraph"/>
      </w:pPr>
      <w:r>
        <w:t xml:space="preserve">Bender IB, Seltzer S. Roentgenographic and direct observation of experimental lesions in bone. J Am Dent Assoc 1961;62:152-60.</w:t>
      </w:r>
    </w:p>
    <w:p>
      <w:pPr>
        <w:pStyle w:val="BodyText"/>
      </w:pPr>
      <w:r>
        <w:t xml:space="preserve">Brynolf I. A histological and roentgenological study of the periapical region. Odontol Revy 1967;18(Suppl 11):1-176.</w:t>
      </w:r>
    </w:p>
    <w:p>
      <w:pPr>
        <w:pStyle w:val="BodyText"/>
      </w:pPr>
      <w:r>
        <w:t xml:space="preserve">de Chevigny C, et al. Treatment outcome in endodontics: the Toronto study--phase 4. J Endod 2008;34(3):258-63.</w:t>
      </w:r>
    </w:p>
    <w:bookmarkEnd w:id="132"/>
    <w:bookmarkStart w:id="133" w:name="cracked-teeth"/>
    <w:p>
      <w:pPr>
        <w:pStyle w:val="Heading2"/>
      </w:pPr>
      <w:r>
        <w:t xml:space="preserve">Cracked Teeth</w:t>
      </w:r>
    </w:p>
    <w:p>
      <w:pPr>
        <w:pStyle w:val="FirstParagraph"/>
      </w:pPr>
      <w:r>
        <w:t xml:space="preserve">Kang SH, Kim BS, Kim Y. Cracked teeth: distribution, characteristics, and survival after root canal treatment. J Endod 2016;42(4):557-62.</w:t>
      </w:r>
    </w:p>
    <w:p>
      <w:pPr>
        <w:pStyle w:val="BodyText"/>
      </w:pPr>
      <w:r>
        <w:t xml:space="preserve">Krell KV, Rivera EM. A six year evaluation of cracked teeth diagnosed with reversible pulpitis. J Endod 2007;33(12):1405-7.</w:t>
      </w:r>
    </w:p>
    <w:p>
      <w:pPr>
        <w:pStyle w:val="BodyText"/>
      </w:pPr>
      <w:r>
        <w:t xml:space="preserve">Guthrie RC, DiFiore PM. Treating the cracked tooth with a full crown. J Am Dent Assoc 1991;122(9):71-3.</w:t>
      </w:r>
    </w:p>
    <w:bookmarkEnd w:id="133"/>
    <w:bookmarkStart w:id="134" w:name="anesthesia"/>
    <w:p>
      <w:pPr>
        <w:pStyle w:val="Heading2"/>
      </w:pPr>
      <w:r>
        <w:t xml:space="preserve">Anesthesia</w:t>
      </w:r>
    </w:p>
    <w:p>
      <w:pPr>
        <w:pStyle w:val="FirstParagraph"/>
      </w:pPr>
      <w:r>
        <w:t xml:space="preserve">Fowler S, Reader A, Beck M. Incidence of missed inferior alveolar nerve blocks. J Endod 2015;41(5):637-9.</w:t>
      </w:r>
    </w:p>
    <w:p>
      <w:pPr>
        <w:pStyle w:val="BodyText"/>
      </w:pPr>
      <w:r>
        <w:t xml:space="preserve">Garisto GA, et al. Occurrence of paresthesia after dental local anesthetic administration in the United States. J Am Dent Assoc 2010;141(7):836-44.</w:t>
      </w:r>
    </w:p>
    <w:p>
      <w:pPr>
        <w:pStyle w:val="BodyText"/>
      </w:pPr>
      <w:r>
        <w:t xml:space="preserve">Kanaa MD, et al. A prospective randomized trial of different supplementary local anesthetic techniques. J Endod 2012;38(4):421-5.</w:t>
      </w:r>
    </w:p>
    <w:p>
      <w:pPr>
        <w:pStyle w:val="BodyText"/>
      </w:pPr>
      <w:r>
        <w:t xml:space="preserve">Hargreaves KM, Keiser K. Local anesthetic failure in endodontics: mechanisms and management. Endod Topics 2002;1(1):26-39.</w:t>
      </w:r>
    </w:p>
    <w:bookmarkEnd w:id="134"/>
    <w:bookmarkStart w:id="135" w:name="instrumentation-and-working-length"/>
    <w:p>
      <w:pPr>
        <w:pStyle w:val="Heading2"/>
      </w:pPr>
      <w:r>
        <w:t xml:space="preserve">Instrumentation and Working Length</w:t>
      </w:r>
    </w:p>
    <w:p>
      <w:pPr>
        <w:pStyle w:val="FirstParagraph"/>
      </w:pPr>
      <w:r>
        <w:t xml:space="preserve">Burch JG, Hulen S. The relationship of the apical foramen to the anatomic apex. Oral Surg Oral Med Oral Pathol 1972;34(2):262-8.</w:t>
      </w:r>
    </w:p>
    <w:p>
      <w:pPr>
        <w:pStyle w:val="BodyText"/>
      </w:pPr>
      <w:r>
        <w:t xml:space="preserve">Kuttler Y. Microscopic investigation of root apexes. J Am Dent Assoc 1955;50(5):544-52.</w:t>
      </w:r>
    </w:p>
    <w:p>
      <w:pPr>
        <w:pStyle w:val="BodyText"/>
      </w:pPr>
      <w:r>
        <w:t xml:space="preserve">Ricucci M, Langeland K. “Apical limit of root canal instrumentation.” IEJ. 1998.</w:t>
      </w:r>
    </w:p>
    <w:bookmarkEnd w:id="135"/>
    <w:bookmarkStart w:id="136" w:name="irrigation-and-medicaments"/>
    <w:p>
      <w:pPr>
        <w:pStyle w:val="Heading2"/>
      </w:pPr>
      <w:r>
        <w:t xml:space="preserve">Irrigation and Medicaments</w:t>
      </w:r>
    </w:p>
    <w:p>
      <w:pPr>
        <w:pStyle w:val="FirstParagraph"/>
      </w:pPr>
      <w:r>
        <w:t xml:space="preserve">Peters OA, et al. Effects of four Ni-Ti preparation techniques on root canal geometry. Int Endod J 2001;34(3):221-30.</w:t>
      </w:r>
    </w:p>
    <w:p>
      <w:pPr>
        <w:pStyle w:val="BodyText"/>
      </w:pPr>
      <w:r>
        <w:t xml:space="preserve">Hand RE, et al. Analysis of the effect of dilution on the necrotic tissue dissolution property of sodium hypochlorite. J Endod 1978;4(2):60-4.</w:t>
      </w:r>
    </w:p>
    <w:p>
      <w:pPr>
        <w:pStyle w:val="BodyText"/>
      </w:pPr>
      <w:r>
        <w:t xml:space="preserve">Sjogren U, et al. The antimicrobial effect of calcium hydroxide as a short-term intracanal dressing. Int Endod J 1991;24(3):119-25.</w:t>
      </w:r>
    </w:p>
    <w:p>
      <w:pPr>
        <w:pStyle w:val="BodyText"/>
      </w:pPr>
      <w:r>
        <w:t xml:space="preserve">Calt S, Serper A. Time-dependent effects of EDTA on dentin structures. J Endod 2002;28(1):17-9.</w:t>
      </w:r>
    </w:p>
    <w:bookmarkEnd w:id="136"/>
    <w:bookmarkStart w:id="137" w:name="obturation-and-apexification"/>
    <w:p>
      <w:pPr>
        <w:pStyle w:val="Heading2"/>
      </w:pPr>
      <w:r>
        <w:t xml:space="preserve">Obturation and Apexification</w:t>
      </w:r>
    </w:p>
    <w:p>
      <w:pPr>
        <w:pStyle w:val="FirstParagraph"/>
      </w:pPr>
      <w:r>
        <w:t xml:space="preserve">Witherspoon DE, Small JC, Regan JD, Nunn M. Retrospective analysis of open apex teeth obturated with MTA. J Endod 2008;34(10):1171-6.</w:t>
      </w:r>
    </w:p>
    <w:p>
      <w:pPr>
        <w:pStyle w:val="BodyText"/>
      </w:pPr>
      <w:r>
        <w:t xml:space="preserve">Cvek M. Prognosis of luxated non-vital maxillary incisors treated with calcium hydroxide. Endod Dent Traumatol 1992;8(2):45-55.</w:t>
      </w:r>
    </w:p>
    <w:p>
      <w:pPr>
        <w:pStyle w:val="BodyText"/>
      </w:pPr>
      <w:r>
        <w:t xml:space="preserve">Mushtaq et al. Comparative clinical outcomes of root canal obturation techniques: a systematic review and meta-analysis of 84 studies. 2026. PMID: 41872366.</w:t>
      </w:r>
    </w:p>
    <w:bookmarkEnd w:id="137"/>
    <w:bookmarkStart w:id="138" w:name="restoration-and-outcomes"/>
    <w:p>
      <w:pPr>
        <w:pStyle w:val="Heading2"/>
      </w:pPr>
      <w:r>
        <w:t xml:space="preserve">Restoration and Outcomes</w:t>
      </w:r>
    </w:p>
    <w:p>
      <w:pPr>
        <w:pStyle w:val="FirstParagraph"/>
      </w:pPr>
      <w:r>
        <w:t xml:space="preserve">Salehrabi R, Rotstein I. Endodontic treatment outcomes in a large patient population in the USA. J Endod 2004;30(12):846-50.</w:t>
      </w:r>
    </w:p>
    <w:p>
      <w:pPr>
        <w:pStyle w:val="BodyText"/>
      </w:pPr>
      <w:r>
        <w:t xml:space="preserve">Ray HA, Trope M. Periapical status of endodontically treated teeth in relation to technical quality. Int Endod J 1995;28(1):12-8.</w:t>
      </w:r>
    </w:p>
    <w:p>
      <w:pPr>
        <w:pStyle w:val="BodyText"/>
      </w:pPr>
      <w:r>
        <w:t xml:space="preserve">Valderhaug J, et al. Assessment of the periapical and clinical status of crowned teeth over 25 years. J Dent 1997;25(2):97-105.</w:t>
      </w:r>
    </w:p>
    <w:bookmarkEnd w:id="138"/>
    <w:bookmarkStart w:id="139" w:name="complications"/>
    <w:p>
      <w:pPr>
        <w:pStyle w:val="Heading2"/>
      </w:pPr>
      <w:r>
        <w:t xml:space="preserve">Complications</w:t>
      </w:r>
    </w:p>
    <w:p>
      <w:pPr>
        <w:pStyle w:val="FirstParagraph"/>
      </w:pPr>
      <w:r>
        <w:t xml:space="preserve">Spili P, et al. The impact of instrument fracture on outcome of endodontic treatment. J Endod 2005;31(12):845-50.</w:t>
      </w:r>
    </w:p>
    <w:p>
      <w:pPr>
        <w:pStyle w:val="BodyText"/>
      </w:pPr>
      <w:r>
        <w:t xml:space="preserve">Tsesis I, et al. Flare-ups after endodontic treatment: a meta-analysis of literature. J Endod 2008;34(10):1177-81.</w:t>
      </w:r>
    </w:p>
    <w:p>
      <w:pPr>
        <w:pStyle w:val="BodyText"/>
      </w:pPr>
      <w:r>
        <w:t xml:space="preserve">Mente J, et al. Treatment outcome of mineral trioxide aggregate: repair of root perforations. J Endod 2010;36(2):208-13.</w:t>
      </w:r>
    </w:p>
    <w:bookmarkEnd w:id="139"/>
    <w:bookmarkStart w:id="140" w:name="surgical-endodontics"/>
    <w:p>
      <w:pPr>
        <w:pStyle w:val="Heading2"/>
      </w:pPr>
      <w:r>
        <w:t xml:space="preserve">Surgical Endodontics</w:t>
      </w:r>
    </w:p>
    <w:p>
      <w:pPr>
        <w:pStyle w:val="FirstParagraph"/>
      </w:pPr>
      <w:r>
        <w:t xml:space="preserve">Setzer FC, et al. Outcome of endodontic surgery: a meta-analysis of the literature--Part 1. J Endod 2010;36(11):1757-65.</w:t>
      </w:r>
    </w:p>
    <w:p>
      <w:pPr>
        <w:pStyle w:val="BodyText"/>
      </w:pPr>
      <w:r>
        <w:t xml:space="preserve">Carrillo C, et al. Relationship between histological diagnosis and evolution of 70 periapical lesions. J Oral Maxillofac Surg 2008;66(8):1606-9.</w:t>
      </w:r>
    </w:p>
    <w:bookmarkEnd w:id="140"/>
    <w:bookmarkStart w:id="141" w:name="pharmacology"/>
    <w:p>
      <w:pPr>
        <w:pStyle w:val="Heading2"/>
      </w:pPr>
      <w:r>
        <w:t xml:space="preserve">Pharmacology</w:t>
      </w:r>
    </w:p>
    <w:p>
      <w:pPr>
        <w:pStyle w:val="FirstParagraph"/>
      </w:pPr>
      <w:r>
        <w:t xml:space="preserve">Oxford Pain Research. Bandolier's Little Book of Pain. Oxford University Press; 2003.</w:t>
      </w:r>
    </w:p>
    <w:p>
      <w:pPr>
        <w:pStyle w:val="BodyText"/>
      </w:pPr>
      <w:r>
        <w:t xml:space="preserve">Baumgartner JC, Xia T. Antibiotic susceptibility of bacteria associated with endodontic abscesses. J Endod 2003;29(1):44-7.</w:t>
      </w:r>
    </w:p>
    <w:p>
      <w:pPr>
        <w:pStyle w:val="BodyText"/>
      </w:pPr>
      <w:r>
        <w:t xml:space="preserve">AAE. AAE Guidance on the Use of Systemic Antibiotics in Endodontics. Chicago: AAE; 2019.</w:t>
      </w:r>
    </w:p>
    <w:bookmarkEnd w:id="141"/>
    <w:bookmarkStart w:id="142" w:name="systemic-conditions"/>
    <w:p>
      <w:pPr>
        <w:pStyle w:val="Heading2"/>
      </w:pPr>
      <w:r>
        <w:t xml:space="preserve">Systemic Conditions</w:t>
      </w:r>
    </w:p>
    <w:p>
      <w:pPr>
        <w:pStyle w:val="FirstParagraph"/>
      </w:pPr>
      <w:r>
        <w:t xml:space="preserve">Costa TH, et al. Association between chronic apical periodontitis and coronary artery disease. J Endod 2014;40(2):164-7.</w:t>
      </w:r>
    </w:p>
    <w:p>
      <w:pPr>
        <w:pStyle w:val="BodyText"/>
      </w:pPr>
      <w:r>
        <w:t xml:space="preserve">Costa CPS, et al. Association between sickle cell anemia and pulp necrosis. J Endod 2013;39(2):177-81.</w:t>
      </w:r>
    </w:p>
    <w:p>
      <w:pPr>
        <w:pStyle w:val="BodyText"/>
      </w:pPr>
      <w:r>
        <w:t xml:space="preserve">Fouad AF, Burleson J. The effect of diabetes mellitus on endodontic treatment outcome. J Am Dent Assoc 2003;134(1):43-51.</w:t>
      </w:r>
    </w:p>
    <w:p>
      <w:pPr>
        <w:pStyle w:val="BodyText"/>
      </w:pPr>
      <w:r>
        <w:t xml:space="preserve">Ruggiero SL, Dodson TB, Aghaloo T, Carlson ER, Ward BB, Kademani D. American Association of Oral and Maxillofacial Surgeons' Position Paper on Medication-Related Osteonecrosis of the Jaws — 2022 Update. J Oral Maxillofac Surg 2022;80(5):920-43.</w:t>
      </w:r>
    </w:p>
    <w:p>
      <w:pPr>
        <w:pStyle w:val="BodyText"/>
      </w:pPr>
      <w:r>
        <w:t xml:space="preserve">Sollecito TP, Abt E, Lockhart PB, et al. The use of prophylactic antibiotics prior to dental procedures in patients with prosthetic joints: Evidence-based clinical practice guideline for dental practitioners — a report of the American Dental Association Council on Scientific Affairs. J Am Dent Assoc 2015;146(1):11-16.e8.</w:t>
      </w:r>
    </w:p>
    <w:p>
      <w:pPr>
        <w:pStyle w:val="BodyText"/>
      </w:pPr>
      <w:r>
        <w:t xml:space="preserve">Wilson WR, Gewitz M, Lockhart PB, et al. Prevention of Viridans Group Streptococcal Infective Endocarditis: A Scientific Statement From the American Heart Association. Circulation 2021;143(20):e963-e978.</w:t>
      </w:r>
    </w:p>
    <w:p>
      <w:pPr>
        <w:pStyle w:val="BodyText"/>
      </w:pPr>
      <w:r>
        <w:t xml:space="preserve">Segura-Egea JJ, Gould K, Şen BH, et al. European Society of Endodontology position statement: the use of antibiotics in endodontics. Int Endod J 2018;51(1):20-25.</w:t>
      </w:r>
    </w:p>
    <w:p>
      <w:pPr>
        <w:pStyle w:val="BodyText"/>
      </w:pPr>
      <w:r>
        <w:t xml:space="preserve">Little JW, Falace DA, Miller CS, Rhodus NL. Dental Management of the Medically Compromised Patient. 9th ed. Elsevier; 2018.</w:t>
      </w:r>
    </w:p>
    <w:p>
      <w:pPr>
        <w:pStyle w:val="BodyText"/>
      </w:pPr>
      <w:r>
        <w:t xml:space="preserve">Patton LL, Glick M (eds). The ADA Practical Guide to Patients with Medical Conditions. 2nd ed. Wiley; 2015.</w:t>
      </w:r>
    </w:p>
    <w:bookmarkEnd w:id="142"/>
    <w:bookmarkStart w:id="143" w:name="dental-trauma"/>
    <w:p>
      <w:pPr>
        <w:pStyle w:val="Heading2"/>
      </w:pPr>
      <w:r>
        <w:t xml:space="preserve">Dental Trauma</w:t>
      </w:r>
    </w:p>
    <w:p>
      <w:pPr>
        <w:pStyle w:val="FirstParagraph"/>
      </w:pPr>
      <w:r>
        <w:t xml:space="preserve">IADT. International Association of Dental Traumatology guidelines for the management of traumatic dental injuries. Dent Traumatol 2020;36(4):314-30.</w:t>
      </w:r>
    </w:p>
    <w:p>
      <w:pPr>
        <w:pStyle w:val="BodyText"/>
      </w:pPr>
      <w:r>
        <w:t xml:space="preserve">Malmgren B. Decoronation: how, why, and when? J Calif Dent Assoc 2000;28(11):846-54.</w:t>
      </w:r>
    </w:p>
    <w:p>
      <w:pPr>
        <w:pStyle w:val="BodyText"/>
      </w:pPr>
      <w:r>
        <w:t xml:space="preserve">Andreasen JO, Pedersen BV. Prognosis of luxated permanent teeth--development of pulp necrosis. Endod Dent Traumatol 1985;1(6):207-20.</w:t>
      </w:r>
    </w:p>
    <w:p>
      <w:pPr>
        <w:pStyle w:val="BodyText"/>
      </w:pPr>
      <w:r>
        <w:t xml:space="preserve">Bauss O, Schilke R, Fenske C, Engelke W, Kiliaridis S. Autotransplantation of immature third molars: influence of different splinting methods and fixation periods. Dent Traumatol 2002;18(6):322-8.</w:t>
      </w:r>
    </w:p>
    <w:bookmarkEnd w:id="143"/>
    <w:bookmarkStart w:id="144" w:name="differential-diagnosis"/>
    <w:p>
      <w:pPr>
        <w:pStyle w:val="Heading2"/>
      </w:pPr>
      <w:r>
        <w:t xml:space="preserve">Differential Diagnosis</w:t>
      </w:r>
    </w:p>
    <w:p>
      <w:pPr>
        <w:pStyle w:val="FirstParagraph"/>
      </w:pPr>
      <w:r>
        <w:t xml:space="preserve">Nixdorf DR, et al. Frequency of nonodontogenic pain after endodontic therapy: a systematic review and meta-analysis. J Endod 2010;36(9):1494-8.</w:t>
      </w:r>
    </w:p>
    <w:p>
      <w:pPr>
        <w:pStyle w:val="BodyText"/>
      </w:pPr>
      <w:r>
        <w:t xml:space="preserve">Kreiner M, et al. Craniofacial pain as the sole symptom of cardiac ischemia. J Am Dent Assoc 2007;138(1):74-9.</w:t>
      </w:r>
    </w:p>
    <w:bookmarkEnd w:id="144"/>
    <w:bookmarkStart w:id="145" w:name="pulp-biology-and-anatomy"/>
    <w:p>
      <w:pPr>
        <w:pStyle w:val="Heading2"/>
      </w:pPr>
      <w:r>
        <w:t xml:space="preserve">Pulp Biology and Anatomy</w:t>
      </w:r>
    </w:p>
    <w:p>
      <w:pPr>
        <w:pStyle w:val="FirstParagraph"/>
      </w:pPr>
      <w:r>
        <w:t xml:space="preserve">Murray PE, et al. Restorative pulpal and repair responses. J Am Dent Assoc 2001;132(4):482-91.</w:t>
      </w:r>
    </w:p>
    <w:p>
      <w:pPr>
        <w:pStyle w:val="BodyText"/>
      </w:pPr>
      <w:r>
        <w:t xml:space="preserve">Reeves R, Stanley HR. The relationship of bacterial penetration and pulpal pathosis in carious teeth. Oral Surg 1966;22(1):59-65.</w:t>
      </w:r>
    </w:p>
    <w:p>
      <w:pPr>
        <w:pStyle w:val="BodyText"/>
      </w:pPr>
      <w:r>
        <w:t xml:space="preserve">Krasner P, Rankow HJ. Anatomy of the pulp-chamber floor. J Endod 2004;30(1):5-16.</w:t>
      </w:r>
    </w:p>
    <w:p>
      <w:pPr>
        <w:pStyle w:val="BodyText"/>
      </w:pPr>
      <w:r>
        <w:t xml:space="preserve">Torabinejad M, et al. Inflammatory and immunological aspects of the pathogenesis of human periapical lesions. J Endod 1985;11(11):479-88.</w:t>
      </w:r>
    </w:p>
    <w:p>
      <w:pPr>
        <w:pStyle w:val="BodyText"/>
      </w:pPr>
      <w:r>
        <w:t xml:space="preserve">Nair PNR. Pathogenesis of apical periodontitis and the causes of endodontic failures. Crit Rev Oral Biol Med 2004;15(6):348-81.</w:t>
      </w:r>
    </w:p>
    <w:p>
      <w:pPr>
        <w:pStyle w:val="BodyText"/>
      </w:pPr>
      <w:r>
        <w:t xml:space="preserve">Eriksson AR, Albrektsson T. Temperature threshold levels for heat-induced bone tissue injury. J Prosthet Dent 1983;50(1):101-7.</w:t>
      </w:r>
    </w:p>
    <w:p>
      <w:pPr>
        <w:pStyle w:val="BodyText"/>
      </w:pPr>
      <w:r>
        <w:t xml:space="preserve">CaOH – used for 1) multiple visit tx 2) stop resorption by its high pH (takes 30 days to diffuse through the tooth)</w:t>
      </w:r>
    </w:p>
    <w:p>
      <w:pPr>
        <w:pStyle w:val="BodyText"/>
      </w:pPr>
      <w:r>
        <w:t xml:space="preserve">Types of resorption.</w:t>
      </w:r>
    </w:p>
    <w:p>
      <w:pPr>
        <w:pStyle w:val="BodyText"/>
      </w:pPr>
      <w:r>
        <w:t xml:space="preserve">25% of the cases with trauma develop PCO. And about 7% go necrotic.</w:t>
      </w:r>
    </w:p>
    <w:p>
      <w:pPr>
        <w:pStyle w:val="BodyText"/>
      </w:pPr>
      <w:r>
        <w:t xml:space="preserve">External cervical resorption – remove the resorption, use TCA, restore with GI</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Endodontic Treatment Rationale Guide</dc:title>
  <dc:creator/>
  <cp:keywords/>
  <dcterms:created xsi:type="dcterms:W3CDTF">2026-05-02T14:09:41Z</dcterms:created>
  <dcterms:modified xsi:type="dcterms:W3CDTF">2026-05-02T14:09:41Z</dcterms:modified>
</cp:coreProperties>
</file>

<file path=docProps/custom.xml><?xml version="1.0" encoding="utf-8"?>
<Properties xmlns="http://schemas.openxmlformats.org/officeDocument/2006/custom-properties" xmlns:vt="http://schemas.openxmlformats.org/officeDocument/2006/docPropsVTypes"/>
</file>