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05D72" w14:textId="64CF13D8" w:rsidR="00EE2E7E" w:rsidRPr="00EE2E7E" w:rsidRDefault="00EE2E7E" w:rsidP="00EE2E7E">
      <w:pPr>
        <w:shd w:val="clear" w:color="auto" w:fill="FFFFFF"/>
        <w:rPr>
          <w:rFonts w:ascii="Arial" w:eastAsia="Times New Roman" w:hAnsi="Arial" w:cs="Arial"/>
          <w:color w:val="222222"/>
          <w:lang w:eastAsia="es-MX"/>
        </w:rPr>
      </w:pPr>
      <w:r w:rsidRPr="00EE2E7E">
        <w:rPr>
          <w:rFonts w:ascii="Arial" w:eastAsia="Times New Roman" w:hAnsi="Arial" w:cs="Arial"/>
          <w:color w:val="222222"/>
          <w:lang w:eastAsia="es-MX"/>
        </w:rPr>
        <w:t>Explicaciones</w:t>
      </w:r>
    </w:p>
    <w:p w14:paraId="4A6A4998" w14:textId="2C4768C7" w:rsidR="00EE6A05" w:rsidRPr="00EE2E7E" w:rsidRDefault="00EE2E7E" w:rsidP="00EE2E7E">
      <w:pPr>
        <w:shd w:val="clear" w:color="auto" w:fill="FFFFFF"/>
        <w:rPr>
          <w:rFonts w:ascii="Arial" w:eastAsia="Times New Roman" w:hAnsi="Arial" w:cs="Arial"/>
          <w:color w:val="222222"/>
          <w:lang w:eastAsia="es-MX"/>
        </w:rPr>
      </w:pPr>
      <w:r w:rsidRPr="00EE2E7E">
        <w:rPr>
          <w:rFonts w:ascii="Arial" w:eastAsia="Times New Roman" w:hAnsi="Arial" w:cs="Arial"/>
          <w:color w:val="222222"/>
          <w:lang w:eastAsia="es-MX"/>
        </w:rPr>
        <w:t xml:space="preserve">Grupo </w:t>
      </w:r>
      <w:r>
        <w:rPr>
          <w:rFonts w:ascii="Arial" w:eastAsia="Times New Roman" w:hAnsi="Arial" w:cs="Arial"/>
          <w:color w:val="222222"/>
          <w:lang w:eastAsia="es-MX"/>
        </w:rPr>
        <w:t>0</w:t>
      </w:r>
      <w:r w:rsidRPr="00EE2E7E">
        <w:rPr>
          <w:rFonts w:ascii="Arial" w:eastAsia="Times New Roman" w:hAnsi="Arial" w:cs="Arial"/>
          <w:color w:val="222222"/>
          <w:lang w:eastAsia="es-MX"/>
        </w:rPr>
        <w:t>1</w:t>
      </w:r>
      <w:r>
        <w:rPr>
          <w:rFonts w:ascii="Arial" w:eastAsia="Times New Roman" w:hAnsi="Arial" w:cs="Arial"/>
          <w:color w:val="222222"/>
          <w:lang w:eastAsia="es-MX"/>
        </w:rPr>
        <w:t xml:space="preserve"> (PIB per cápita alto)</w:t>
      </w:r>
    </w:p>
    <w:p w14:paraId="1D4DC244" w14:textId="77777777" w:rsidR="00EE2E7E" w:rsidRPr="00EE2E7E" w:rsidRDefault="00EE2E7E" w:rsidP="00EE2E7E">
      <w:pPr>
        <w:shd w:val="clear" w:color="auto" w:fill="FFFFFF"/>
        <w:rPr>
          <w:rFonts w:ascii="Arial" w:eastAsia="Times New Roman" w:hAnsi="Arial" w:cs="Arial"/>
          <w:b/>
          <w:bCs/>
          <w:color w:val="222222"/>
          <w:lang w:eastAsia="es-MX"/>
        </w:rPr>
      </w:pPr>
      <w:r w:rsidRPr="00EE2E7E">
        <w:rPr>
          <w:rFonts w:ascii="Arial" w:eastAsia="Times New Roman" w:hAnsi="Arial" w:cs="Arial"/>
          <w:b/>
          <w:bCs/>
          <w:color w:val="222222"/>
          <w:lang w:eastAsia="es-MX"/>
        </w:rPr>
        <w:t>Fortalezas y debilidades</w:t>
      </w:r>
    </w:p>
    <w:p w14:paraId="4B227EB3" w14:textId="77777777" w:rsidR="00EE2E7E" w:rsidRPr="00EE2E7E" w:rsidRDefault="00EE2E7E" w:rsidP="00EE2E7E">
      <w:pPr>
        <w:shd w:val="clear" w:color="auto" w:fill="FFFFFF"/>
        <w:rPr>
          <w:rFonts w:ascii="Arial" w:eastAsia="Times New Roman" w:hAnsi="Arial" w:cs="Arial"/>
          <w:color w:val="222222"/>
          <w:lang w:eastAsia="es-MX"/>
        </w:rPr>
      </w:pPr>
      <w:r w:rsidRPr="00EE2E7E">
        <w:rPr>
          <w:rFonts w:ascii="Arial" w:eastAsia="Times New Roman" w:hAnsi="Arial" w:cs="Arial"/>
          <w:color w:val="222222"/>
          <w:lang w:eastAsia="es-MX"/>
        </w:rPr>
        <w:t>El desempeño es relativo a diez entidades con un PIB per cápita (sin actividad petrolera) similar: AGS, BC, BCS, COAH, CHIH, CDMX, NL, QRO, QROO, SON. Cuando el puntaje o valor de una variable rebasa a la mediana del grupo por más de la desviación estándar, se considera superior; a la inversa, cuando es menor a la mediana en más de la desviación estándar, se considera un desempeño inferior. Si la diferencia respecto a la mediana es menor a la desviación estándar, se considera en el rango esperado.</w:t>
      </w:r>
    </w:p>
    <w:p w14:paraId="65C9277D" w14:textId="7F750000" w:rsidR="00EE2E7E" w:rsidRDefault="00EE2E7E"/>
    <w:p w14:paraId="468E0692" w14:textId="519EF192" w:rsidR="00EE2E7E" w:rsidRDefault="00EE2E7E"/>
    <w:p w14:paraId="5A4E7DDA" w14:textId="6F430326" w:rsidR="00EE2E7E" w:rsidRPr="00EE2E7E" w:rsidRDefault="00EE2E7E" w:rsidP="00EE2E7E">
      <w:pPr>
        <w:shd w:val="clear" w:color="auto" w:fill="FFFFFF"/>
        <w:rPr>
          <w:rFonts w:ascii="Arial" w:eastAsia="Times New Roman" w:hAnsi="Arial" w:cs="Arial"/>
          <w:color w:val="222222"/>
          <w:lang w:eastAsia="es-MX"/>
        </w:rPr>
      </w:pPr>
      <w:r w:rsidRPr="00EE2E7E">
        <w:rPr>
          <w:rFonts w:ascii="Arial" w:eastAsia="Times New Roman" w:hAnsi="Arial" w:cs="Arial"/>
          <w:color w:val="222222"/>
          <w:lang w:eastAsia="es-MX"/>
        </w:rPr>
        <w:t xml:space="preserve">Grupo </w:t>
      </w:r>
      <w:r>
        <w:rPr>
          <w:rFonts w:ascii="Arial" w:eastAsia="Times New Roman" w:hAnsi="Arial" w:cs="Arial"/>
          <w:color w:val="222222"/>
          <w:lang w:eastAsia="es-MX"/>
        </w:rPr>
        <w:t>0</w:t>
      </w:r>
      <w:r>
        <w:rPr>
          <w:rFonts w:ascii="Arial" w:eastAsia="Times New Roman" w:hAnsi="Arial" w:cs="Arial"/>
          <w:color w:val="222222"/>
          <w:lang w:eastAsia="es-MX"/>
        </w:rPr>
        <w:t>2</w:t>
      </w:r>
      <w:r>
        <w:rPr>
          <w:rFonts w:ascii="Arial" w:eastAsia="Times New Roman" w:hAnsi="Arial" w:cs="Arial"/>
          <w:color w:val="222222"/>
          <w:lang w:eastAsia="es-MX"/>
        </w:rPr>
        <w:t xml:space="preserve"> (PIB per cápita </w:t>
      </w:r>
      <w:r>
        <w:rPr>
          <w:rFonts w:ascii="Arial" w:eastAsia="Times New Roman" w:hAnsi="Arial" w:cs="Arial"/>
          <w:color w:val="222222"/>
          <w:lang w:eastAsia="es-MX"/>
        </w:rPr>
        <w:t>medio</w:t>
      </w:r>
      <w:r>
        <w:rPr>
          <w:rFonts w:ascii="Arial" w:eastAsia="Times New Roman" w:hAnsi="Arial" w:cs="Arial"/>
          <w:color w:val="222222"/>
          <w:lang w:eastAsia="es-MX"/>
        </w:rPr>
        <w:t>)</w:t>
      </w:r>
    </w:p>
    <w:p w14:paraId="103EE785" w14:textId="77777777" w:rsidR="00EE2E7E" w:rsidRPr="00EE2E7E" w:rsidRDefault="00EE2E7E" w:rsidP="00EE2E7E">
      <w:pPr>
        <w:shd w:val="clear" w:color="auto" w:fill="FFFFFF"/>
        <w:rPr>
          <w:rFonts w:ascii="Arial" w:eastAsia="Times New Roman" w:hAnsi="Arial" w:cs="Arial"/>
          <w:b/>
          <w:bCs/>
          <w:color w:val="222222"/>
          <w:lang w:eastAsia="es-MX"/>
        </w:rPr>
      </w:pPr>
      <w:r w:rsidRPr="00EE2E7E">
        <w:rPr>
          <w:rFonts w:ascii="Arial" w:eastAsia="Times New Roman" w:hAnsi="Arial" w:cs="Arial"/>
          <w:b/>
          <w:bCs/>
          <w:color w:val="222222"/>
          <w:lang w:eastAsia="es-MX"/>
        </w:rPr>
        <w:t>Fortalezas y debilidades</w:t>
      </w:r>
    </w:p>
    <w:p w14:paraId="58448C31" w14:textId="5BFDE95F" w:rsidR="00EE2E7E" w:rsidRPr="00EE2E7E" w:rsidRDefault="00EE2E7E" w:rsidP="00EE2E7E">
      <w:pPr>
        <w:shd w:val="clear" w:color="auto" w:fill="FFFFFF"/>
        <w:rPr>
          <w:rFonts w:ascii="Arial" w:eastAsia="Times New Roman" w:hAnsi="Arial" w:cs="Arial"/>
          <w:color w:val="222222"/>
          <w:lang w:eastAsia="es-MX"/>
        </w:rPr>
      </w:pPr>
      <w:r w:rsidRPr="00EE2E7E">
        <w:rPr>
          <w:rFonts w:ascii="Arial" w:eastAsia="Times New Roman" w:hAnsi="Arial" w:cs="Arial"/>
          <w:color w:val="222222"/>
          <w:lang w:eastAsia="es-MX"/>
        </w:rPr>
        <w:t xml:space="preserve">El desempeño es relativo a </w:t>
      </w:r>
      <w:r>
        <w:rPr>
          <w:rFonts w:ascii="Arial" w:eastAsia="Times New Roman" w:hAnsi="Arial" w:cs="Arial"/>
          <w:color w:val="222222"/>
          <w:lang w:eastAsia="es-MX"/>
        </w:rPr>
        <w:t>once</w:t>
      </w:r>
      <w:r w:rsidRPr="00EE2E7E">
        <w:rPr>
          <w:rFonts w:ascii="Arial" w:eastAsia="Times New Roman" w:hAnsi="Arial" w:cs="Arial"/>
          <w:color w:val="222222"/>
          <w:lang w:eastAsia="es-MX"/>
        </w:rPr>
        <w:t xml:space="preserve"> entidades con un PIB per cápita (sin actividad petrolera) similar: </w:t>
      </w:r>
      <w:r>
        <w:rPr>
          <w:rFonts w:ascii="Arial" w:eastAsia="Times New Roman" w:hAnsi="Arial" w:cs="Arial"/>
          <w:color w:val="222222"/>
          <w:lang w:eastAsia="es-MX"/>
        </w:rPr>
        <w:t>CAMP, COL, DGO, GTO, JAL, MOR, NAY, SLP, SIN, TAMP, YUC</w:t>
      </w:r>
      <w:r w:rsidRPr="00EE2E7E">
        <w:rPr>
          <w:rFonts w:ascii="Arial" w:eastAsia="Times New Roman" w:hAnsi="Arial" w:cs="Arial"/>
          <w:color w:val="222222"/>
          <w:lang w:eastAsia="es-MX"/>
        </w:rPr>
        <w:t>. Cuando el puntaje o valor de una variable rebasa a la mediana del grupo por más de la desviación estándar, se considera superior; a la inversa, cuando es menor a la mediana en más de la desviación estándar, se considera un desempeño inferior. Si la diferencia respecto a la mediana es menor a la desviación estándar, se considera en el rango esperado.</w:t>
      </w:r>
    </w:p>
    <w:p w14:paraId="59A64268" w14:textId="71549A83" w:rsidR="00EE2E7E" w:rsidRDefault="00EE2E7E"/>
    <w:p w14:paraId="2563C090" w14:textId="59365D81" w:rsidR="00EE2E7E" w:rsidRPr="00EE2E7E" w:rsidRDefault="00EE2E7E" w:rsidP="00EE2E7E">
      <w:pPr>
        <w:shd w:val="clear" w:color="auto" w:fill="FFFFFF"/>
        <w:rPr>
          <w:rFonts w:ascii="Arial" w:eastAsia="Times New Roman" w:hAnsi="Arial" w:cs="Arial"/>
          <w:color w:val="222222"/>
          <w:lang w:eastAsia="es-MX"/>
        </w:rPr>
      </w:pPr>
      <w:r w:rsidRPr="00EE2E7E">
        <w:rPr>
          <w:rFonts w:ascii="Arial" w:eastAsia="Times New Roman" w:hAnsi="Arial" w:cs="Arial"/>
          <w:color w:val="222222"/>
          <w:lang w:eastAsia="es-MX"/>
        </w:rPr>
        <w:t xml:space="preserve">Grupo </w:t>
      </w:r>
      <w:r>
        <w:rPr>
          <w:rFonts w:ascii="Arial" w:eastAsia="Times New Roman" w:hAnsi="Arial" w:cs="Arial"/>
          <w:color w:val="222222"/>
          <w:lang w:eastAsia="es-MX"/>
        </w:rPr>
        <w:t>0</w:t>
      </w:r>
      <w:r>
        <w:rPr>
          <w:rFonts w:ascii="Arial" w:eastAsia="Times New Roman" w:hAnsi="Arial" w:cs="Arial"/>
          <w:color w:val="222222"/>
          <w:lang w:eastAsia="es-MX"/>
        </w:rPr>
        <w:t>3</w:t>
      </w:r>
      <w:r>
        <w:rPr>
          <w:rFonts w:ascii="Arial" w:eastAsia="Times New Roman" w:hAnsi="Arial" w:cs="Arial"/>
          <w:color w:val="222222"/>
          <w:lang w:eastAsia="es-MX"/>
        </w:rPr>
        <w:t xml:space="preserve"> (PIB per cápita </w:t>
      </w:r>
      <w:r>
        <w:rPr>
          <w:rFonts w:ascii="Arial" w:eastAsia="Times New Roman" w:hAnsi="Arial" w:cs="Arial"/>
          <w:color w:val="222222"/>
          <w:lang w:eastAsia="es-MX"/>
        </w:rPr>
        <w:t>bajo</w:t>
      </w:r>
      <w:r>
        <w:rPr>
          <w:rFonts w:ascii="Arial" w:eastAsia="Times New Roman" w:hAnsi="Arial" w:cs="Arial"/>
          <w:color w:val="222222"/>
          <w:lang w:eastAsia="es-MX"/>
        </w:rPr>
        <w:t>)</w:t>
      </w:r>
    </w:p>
    <w:p w14:paraId="7EDF089C" w14:textId="77777777" w:rsidR="00EE2E7E" w:rsidRPr="00EE2E7E" w:rsidRDefault="00EE2E7E" w:rsidP="00EE2E7E">
      <w:pPr>
        <w:shd w:val="clear" w:color="auto" w:fill="FFFFFF"/>
        <w:rPr>
          <w:rFonts w:ascii="Arial" w:eastAsia="Times New Roman" w:hAnsi="Arial" w:cs="Arial"/>
          <w:b/>
          <w:bCs/>
          <w:color w:val="222222"/>
          <w:lang w:eastAsia="es-MX"/>
        </w:rPr>
      </w:pPr>
      <w:r w:rsidRPr="00EE2E7E">
        <w:rPr>
          <w:rFonts w:ascii="Arial" w:eastAsia="Times New Roman" w:hAnsi="Arial" w:cs="Arial"/>
          <w:b/>
          <w:bCs/>
          <w:color w:val="222222"/>
          <w:lang w:eastAsia="es-MX"/>
        </w:rPr>
        <w:t>Fortalezas y debilidades</w:t>
      </w:r>
    </w:p>
    <w:p w14:paraId="4D5A40A2" w14:textId="12226450" w:rsidR="00EE2E7E" w:rsidRPr="00EE2E7E" w:rsidRDefault="00EE2E7E" w:rsidP="00EE2E7E">
      <w:pPr>
        <w:shd w:val="clear" w:color="auto" w:fill="FFFFFF"/>
        <w:rPr>
          <w:rFonts w:ascii="Arial" w:eastAsia="Times New Roman" w:hAnsi="Arial" w:cs="Arial"/>
          <w:color w:val="222222"/>
          <w:lang w:eastAsia="es-MX"/>
        </w:rPr>
      </w:pPr>
      <w:r w:rsidRPr="00EE2E7E">
        <w:rPr>
          <w:rFonts w:ascii="Arial" w:eastAsia="Times New Roman" w:hAnsi="Arial" w:cs="Arial"/>
          <w:color w:val="222222"/>
          <w:lang w:eastAsia="es-MX"/>
        </w:rPr>
        <w:t xml:space="preserve">El desempeño es relativo a </w:t>
      </w:r>
      <w:r>
        <w:rPr>
          <w:rFonts w:ascii="Arial" w:eastAsia="Times New Roman" w:hAnsi="Arial" w:cs="Arial"/>
          <w:color w:val="222222"/>
          <w:lang w:eastAsia="es-MX"/>
        </w:rPr>
        <w:t>once</w:t>
      </w:r>
      <w:r w:rsidRPr="00EE2E7E">
        <w:rPr>
          <w:rFonts w:ascii="Arial" w:eastAsia="Times New Roman" w:hAnsi="Arial" w:cs="Arial"/>
          <w:color w:val="222222"/>
          <w:lang w:eastAsia="es-MX"/>
        </w:rPr>
        <w:t xml:space="preserve"> entidades con un PIB per cápita (sin actividad petrolera) similar: </w:t>
      </w:r>
      <w:r>
        <w:rPr>
          <w:rFonts w:ascii="Arial" w:eastAsia="Times New Roman" w:hAnsi="Arial" w:cs="Arial"/>
          <w:color w:val="222222"/>
          <w:lang w:eastAsia="es-MX"/>
        </w:rPr>
        <w:t>CHPS, GRO, HGO, MEX, MICH, OAX, PUE, TAB, TLAX, VER, ZAC</w:t>
      </w:r>
      <w:r w:rsidRPr="00EE2E7E">
        <w:rPr>
          <w:rFonts w:ascii="Arial" w:eastAsia="Times New Roman" w:hAnsi="Arial" w:cs="Arial"/>
          <w:color w:val="222222"/>
          <w:lang w:eastAsia="es-MX"/>
        </w:rPr>
        <w:t>. Cuando el puntaje o valor de una variable rebasa a la mediana del grupo por más de la desviación estándar, se considera superior; a la inversa, cuando es menor a la mediana en más de la desviación estándar, se considera un desempeño inferior. Si la diferencia respecto a la mediana es menor a la desviación estándar, se considera en el rango esperado.</w:t>
      </w:r>
    </w:p>
    <w:p w14:paraId="55B8961D" w14:textId="77777777" w:rsidR="00EE2E7E" w:rsidRDefault="00EE2E7E"/>
    <w:p w14:paraId="5ECE5DBE" w14:textId="77777777" w:rsidR="00EE2E7E" w:rsidRPr="00EE2E7E" w:rsidRDefault="00EE2E7E"/>
    <w:sectPr w:rsidR="00EE2E7E" w:rsidRPr="00EE2E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7E"/>
    <w:rsid w:val="00EE2E7E"/>
    <w:rsid w:val="00EE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245C7"/>
  <w15:chartTrackingRefBased/>
  <w15:docId w15:val="{CE96248D-B4C5-5A44-95BF-D351AD42F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262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Guzman Martinez</dc:creator>
  <cp:keywords/>
  <dc:description/>
  <cp:lastModifiedBy>Katia Guzman Martinez</cp:lastModifiedBy>
  <cp:revision>1</cp:revision>
  <dcterms:created xsi:type="dcterms:W3CDTF">2021-11-04T22:24:00Z</dcterms:created>
  <dcterms:modified xsi:type="dcterms:W3CDTF">2021-11-04T22:28:00Z</dcterms:modified>
</cp:coreProperties>
</file>