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April 27, 2021.</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ignificance-statement"/>
      <w:r>
        <w:t xml:space="preserve">Significance Statement</w:t>
      </w:r>
      <w:bookmarkEnd w:id="29"/>
    </w:p>
    <w:p>
      <w:pPr>
        <w:pStyle w:val="FirstParagraph"/>
      </w:pPr>
      <w:r>
        <w:t xml:space="preserve">Selective binding to specific target cells is a critical property of many therapies. To enhance selectivity in specific situations, a series of new strategies have been proposed in the drug development literature, including affinity, valency, multi-specificity, and other alterations to target cell binding. We have developed a simple and general, multivalent ligand-receptor binding model that can help to direct therapeutic engineering. Using this model, we provide generalized and quantitative analyses of the effectiveness and limitations of each strategy. We also demonstrate that combining strategies can offer enhanced selectivity. This work provides guidance for future therapeutic development.</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uniformally distributed across the cell surface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 It should be noted that the model was allowed to alter the experimentally measured affinities of the receptor-ligand interactions to fit the experimental data, but was also able to fit the data using experimentally determined affinities with respectable accuracy (</w:t>
      </w:r>
      <m:oMath>
        <m:sSup>
          <m:e>
            <m:r>
              <m:t>R</m:t>
            </m:r>
          </m:e>
          <m:sup>
            <m:r>
              <m:t>2</m:t>
            </m:r>
          </m:sup>
        </m:sSup>
      </m:oMath>
      <w:r>
        <w:t xml:space="preserve"> </w:t>
      </w:r>
      <w:r>
        <w:t xml:space="preserve">of 0.95 when fitting affinities vs. 0.70 when using experimentally determined affinities).</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00cc7a65eac07f9ac8c67eeeec4153b25a8ab28"/>
      <w:r>
        <w:t xml:space="preserve">Heterovalent Bispecific Ligands Exhibit Unique Characteristics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26</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Model specific parameters such as</w:t>
      </w:r>
      <w:r>
        <w:t xml:space="preserve"> </w:t>
      </w:r>
      <m:oMath>
        <m:sSubSup>
          <m:e>
            <m:r>
              <m:t>K</m:t>
            </m:r>
          </m:e>
          <m:sub>
            <m:r>
              <m:t>x</m:t>
            </m:r>
          </m:sub>
          <m:sup>
            <m:r>
              <m:t>*</m:t>
            </m:r>
          </m:sup>
        </m:sSubSup>
      </m:oMath>
      <w:r>
        <w:t xml:space="preserve"> </w:t>
      </w:r>
      <w:r>
        <w:t xml:space="preserve">were bound according to their observed values when fit to other binding processes.</w:t>
      </w:r>
      <w:hyperlink w:anchor="ref-u2Cb0DBq">
        <w:r>
          <w:rPr>
            <w:rStyle w:val="Hyperlink"/>
            <w:vertAlign w:val="superscript"/>
          </w:rPr>
          <w:t xml:space="preserve">18</w:t>
        </w:r>
      </w:hyperlink>
      <w:r>
        <w:t xml:space="preserve"> </w:t>
      </w:r>
      <w:r>
        <w:t xml:space="preserve">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 It should be noted that the parameter space is not convex, and a grid-search strategy was used for strategies where valency and affinity allowed to vary simultaneously in order to locate the global maximum selectivity.</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w:t>
      </w:r>
      <w:r>
        <w:t xml:space="preserve"> </w:t>
      </w:r>
      <w:r>
        <w:t xml:space="preserve">“</w:t>
      </w:r>
      <w:r>
        <w:t xml:space="preserve">Unaltered</w:t>
      </w:r>
      <w:r>
        <w:t xml:space="preserve">”</w:t>
      </w:r>
      <w:r>
        <w:t xml:space="preserve"> </w:t>
      </w:r>
      <w:r>
        <w:t xml:space="preserve">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w:t>
      </w:r>
      <w:r>
        <w:t xml:space="preserve"> </w:t>
      </w:r>
      <w:r>
        <w:t xml:space="preserve">“</w:t>
      </w:r>
      <w:r>
        <w:t xml:space="preserve">Unaltered</w:t>
      </w:r>
      <w:r>
        <w:t xml:space="preserve">”</w:t>
      </w:r>
      <w:r>
        <w:t xml:space="preserve"> </w:t>
      </w:r>
      <w:r>
        <w:t xml:space="preserve">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with affinities optimized for selectivity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28</w:t>
        </w:r>
      </w:hyperlink>
      <w:r>
        <w:rPr>
          <w:vertAlign w:val="superscript"/>
        </w:rPr>
        <w:t xml:space="preserve">,</w:t>
      </w:r>
      <w:hyperlink w:anchor="ref-L2k7ECfb">
        <w:r>
          <w:rPr>
            <w:rStyle w:val="Hyperlink"/>
            <w:vertAlign w:val="superscript"/>
          </w:rPr>
          <w:t xml:space="preserve">29</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30</w:t>
        </w:r>
      </w:hyperlink>
      <w:r>
        <w:rPr>
          <w:vertAlign w:val="superscript"/>
        </w:rPr>
        <w:t xml:space="preserve">,</w:t>
      </w:r>
      <w:hyperlink w:anchor="ref-PIRfSNMl">
        <w:r>
          <w:rPr>
            <w:rStyle w:val="Hyperlink"/>
            <w:vertAlign w:val="superscript"/>
          </w:rPr>
          <w:t xml:space="preserve">31</w:t>
        </w:r>
      </w:hyperlink>
      <w:r>
        <w:t xml:space="preserve"> </w:t>
      </w:r>
      <w:r>
        <w:t xml:space="preserve">or downregulating</w:t>
      </w:r>
      <w:hyperlink w:anchor="ref-uMIi8rGN">
        <w:r>
          <w:rPr>
            <w:rStyle w:val="Hyperlink"/>
            <w:vertAlign w:val="superscript"/>
          </w:rPr>
          <w:t xml:space="preserve">32</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33</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34</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We also assume that receptors are uniformally distributed across the cell surface; should different receptors be organized in discrete domains, the model would need to be updated to account for different</w:t>
      </w:r>
      <w:r>
        <w:t xml:space="preserve"> </w:t>
      </w:r>
      <m:oMath>
        <m:sSubSup>
          <m:e>
            <m:r>
              <m:t>K</m:t>
            </m:r>
          </m:e>
          <m:sub>
            <m:r>
              <m:t>x</m:t>
            </m:r>
          </m:sub>
          <m:sup>
            <m:r>
              <m:t>*</m:t>
            </m:r>
          </m:sup>
        </m:sSubSup>
      </m:oMath>
      <w:r>
        <w:t xml:space="preserve"> </w:t>
      </w:r>
      <w:r>
        <w:t xml:space="preserve">values for each receptor population and accompanying domain.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35</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90%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6"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Cold Spring Harbor Laboratory</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40098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uVvF8Fgs"/>
    <w:p>
      <w:pPr>
        <w:pStyle w:val="Bibliography"/>
      </w:pPr>
      <w:r>
        <w:t xml:space="preserve">26.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6"/>
    <w:bookmarkStart w:id="87" w:name="ref-lFjmqXvb"/>
    <w:p>
      <w:pPr>
        <w:pStyle w:val="Bibliography"/>
      </w:pPr>
      <w:r>
        <w:t xml:space="preserve">27.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87"/>
    <w:bookmarkStart w:id="88" w:name="ref-FqWAsZ7z"/>
    <w:p>
      <w:pPr>
        <w:pStyle w:val="Bibliography"/>
      </w:pPr>
      <w:r>
        <w:t xml:space="preserve">28.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8"/>
    <w:bookmarkStart w:id="89" w:name="ref-L2k7ECfb"/>
    <w:p>
      <w:pPr>
        <w:pStyle w:val="Bibliography"/>
      </w:pPr>
      <w:r>
        <w:t xml:space="preserve">29.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9"/>
    <w:bookmarkStart w:id="90" w:name="ref-3WVNxYBN"/>
    <w:p>
      <w:pPr>
        <w:pStyle w:val="Bibliography"/>
      </w:pPr>
      <w:r>
        <w:t xml:space="preserve">30.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90"/>
    <w:bookmarkStart w:id="91" w:name="ref-PIRfSNMl"/>
    <w:p>
      <w:pPr>
        <w:pStyle w:val="Bibliography"/>
      </w:pPr>
      <w:r>
        <w:t xml:space="preserve">31. Knowles, L. M.</w:t>
      </w:r>
      <w:r>
        <w:t xml:space="preserve"> </w:t>
      </w:r>
      <w:r>
        <w:rPr>
          <w:i/>
        </w:rPr>
        <w:t xml:space="preserve">et al.</w:t>
      </w:r>
      <w:r>
        <w:t xml:space="preserve"> </w:t>
      </w:r>
      <w:r>
        <w:t xml:space="preserve">Integrin αvβ3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1"/>
    <w:bookmarkStart w:id="92" w:name="ref-uMIi8rGN"/>
    <w:p>
      <w:pPr>
        <w:pStyle w:val="Bibliography"/>
      </w:pPr>
      <w:r>
        <w:t xml:space="preserve">32.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2"/>
    <w:bookmarkStart w:id="93" w:name="ref-bi6A2xzH"/>
    <w:p>
      <w:pPr>
        <w:pStyle w:val="Bibliography"/>
      </w:pPr>
      <w:r>
        <w:t xml:space="preserve">33.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3"/>
    <w:bookmarkStart w:id="94" w:name="ref-Fp4dDXV1"/>
    <w:p>
      <w:pPr>
        <w:pStyle w:val="Bibliography"/>
      </w:pPr>
      <w:r>
        <w:t xml:space="preserve">34.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4"/>
    <w:bookmarkStart w:id="95" w:name="ref-8Miti2Gz"/>
    <w:p>
      <w:pPr>
        <w:pStyle w:val="Bibliography"/>
      </w:pPr>
      <w:r>
        <w:t xml:space="preserve">35.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rPr>
          <w:b/>
        </w:rPr>
        <w:t xml:space="preserve">17</w:t>
      </w:r>
      <w:r>
        <w:t xml:space="preserve">, 261–272 (2020).</w:t>
      </w:r>
    </w:p>
    <w:bookmarkEnd w:id="95"/>
    <w:bookmarkEnd w:id="96"/>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2021-04-27T23:08:02Z</dcterms:created>
  <dcterms:modified xsi:type="dcterms:W3CDTF">2021-04-27T23:08:02Z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2021-04-27</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