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October 20,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Often, target cells can differ from off-target populations only subtly in surface receptor expression, making selective activation of target cells difficult to achieve. Even with a drug of very specific molecular binding, genetic and non-genetic heterogeneity can create a wide distribution of cell responses. This can result in reduced effectiveness and toxicity. Specific cell targeting is a universal challenge in protein-based therapies.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among heterogeneous cell populations. While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this heterogeneity impedes our effort of creating a highly specific drug. The intricacies of both inter-population receptor expression difference and intra-population receptor expression heterogeneity present significant challenges that limit the selectivity of therapies within the body.</w:t>
      </w:r>
    </w:p>
    <w:p>
      <w:pPr>
        <w:pStyle w:val="BodyText"/>
      </w:pPr>
      <w:r>
        <w:t xml:space="preserve">Further improving cell-specific targeting will require new strategies of engineering specificity. Non-cellular therapies such as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improvements in cell-specific targeting.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to optimize target cell binding while minimizing their off-target cells binding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divided by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For the binding between monomer ligands and receptors, their affinity can be described by the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its dissociation constants to the two receptors to be</w:t>
      </w:r>
      <w:r>
        <w:t xml:space="preserve"> </w:t>
      </w:r>
      <m:oMath>
        <m:r>
          <m:t>10</m:t>
        </m:r>
        <m:r>
          <m:rPr>
            <m:sty m:val="p"/>
          </m:rPr>
          <m:t>μ</m:t>
        </m:r>
        <m:r>
          <m:rPr>
            <m:sty m:val="p"/>
          </m:rPr>
          <m:t>M</m:t>
        </m:r>
      </m:oMath>
      <w:r>
        <w:t xml:space="preserve"> </w:t>
      </w:r>
      <w:r>
        <w:t xml:space="preserve">and</w:t>
      </w:r>
      <w:r>
        <w:t xml:space="preserve"> </w:t>
      </w:r>
      <m:oMath>
        <m:r>
          <m:t>100</m:t>
        </m:r>
      </m:oMath>
      <w:r>
        <w:t xml:space="preserve"> </w:t>
      </w:r>
      <m:oMath>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binding varying more strongly with changes to</w:t>
      </w:r>
      <w:r>
        <w:t xml:space="preserve"> </w:t>
      </w:r>
      <m:oMath>
        <m:sSub>
          <m:e>
            <m:r>
              <m:t>R</m:t>
            </m:r>
          </m:e>
          <m:sub>
            <m:r>
              <m:t>2</m:t>
            </m:r>
          </m:sub>
        </m:sSub>
      </m:oMath>
      <w:r>
        <w:t xml:space="preserve"> </w:t>
      </w:r>
      <w:r>
        <w:t xml:space="preserve">expression than</w:t>
      </w:r>
      <w:r>
        <w:t xml:space="preserve"> </w:t>
      </w:r>
      <m:oMath>
        <m:sSub>
          <m:e>
            <m:r>
              <m:t>R</m:t>
            </m:r>
          </m:e>
          <m:sub>
            <m:r>
              <m:t>1</m:t>
            </m:r>
          </m:sub>
        </m:sSub>
      </m:oMath>
      <w:r>
        <w:t xml:space="preserve">. This situation might correspond to some cue inducing expression of a receptor, such as interferon-induced upregulation of MHC and regulatory T cell upregulation of IL-2R⍺.</w:t>
      </w:r>
      <w:hyperlink w:anchor="ref-11Hb1fNV6">
        <w:r>
          <w:rPr>
            <w:rStyle w:val="Hyperlink"/>
            <w:vertAlign w:val="superscript"/>
          </w:rPr>
          <w:t xml:space="preserve">15</w:t>
        </w:r>
      </w:hyperlink>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a ligand using various strategies can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ligand binding affinity as an engineering strategy to enhance its cell population specificity. Here, we showed the binding pattern of monovalent ligands with various affinities ranging from</w:t>
      </w:r>
      <w:r>
        <w:t xml:space="preserve"> </w:t>
      </w:r>
      <m:oMath>
        <m:r>
          <m:t>10</m:t>
        </m:r>
        <m:r>
          <m:rPr>
            <m:sty m:val="p"/>
          </m:rPr>
          <m:t>μ</m:t>
        </m:r>
        <m:r>
          <m:rPr>
            <m:sty m:val="p"/>
          </m:rPr>
          <m:t>M</m:t>
        </m:r>
      </m:oMath>
      <w:r>
        <w:t xml:space="preserve"> </w:t>
      </w:r>
      <w:r>
        <w:t xml:space="preserve">to</w:t>
      </w:r>
      <w:r>
        <w:t xml:space="preserve"> </w:t>
      </w:r>
      <m:oMath>
        <m:r>
          <m:t>100</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When a target cell population expresses a receptor not expressed by off-target cell populations, enhancing the affinity of the drug to this receptor is a clear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differ only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by the relative discrepancy in receptor amounts (Fig.</w:t>
      </w:r>
      <w:r>
        <w:t xml:space="preserve"> </w:t>
      </w:r>
      <w:hyperlink w:anchor="fig:affinity">
        <w:r>
          <w:rPr>
            <w:rStyle w:val="Hyperlink"/>
          </w:rPr>
          <w:t xml:space="preserve">2</w:t>
        </w:r>
      </w:hyperlink>
      <w:r>
        <w:t xml:space="preserve">c,d). Becuase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fails to modulate binding selectivity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when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Previous work has shown that our binding model can accurately predict the complicated multivalent binding process between IgG antibodies and Fcγ receptors.</w:t>
      </w:r>
      <w:hyperlink w:anchor="ref-11gk5tUo7">
        <w:r>
          <w:rPr>
            <w:rStyle w:val="Hyperlink"/>
            <w:vertAlign w:val="superscript"/>
          </w:rPr>
          <w:t xml:space="preserve">16</w:t>
        </w:r>
      </w:hyperlink>
      <w:r>
        <w:t xml:space="preserve"> </w:t>
      </w:r>
      <w:r>
        <w:t xml:space="preserve">To further demonstrate our model’s capacity to predict multivalent binding activity, we fit our model to previous experimental measurements wherein fluorescently labeled nanorings were assembled with specific numbers of binding units.</w:t>
      </w:r>
      <w:hyperlink w:anchor="ref-u2Cb0DBq">
        <w:r>
          <w:rPr>
            <w:rStyle w:val="Hyperlink"/>
            <w:vertAlign w:val="superscript"/>
          </w:rPr>
          <w:t xml:space="preserve">17</w:t>
        </w:r>
      </w:hyperlink>
      <w:r>
        <w:t xml:space="preserve"> </w:t>
      </w:r>
      <w:r>
        <w:t xml:space="preserve">After fitting to determine the crosslinking coefficient and receptor affinity values, our model was able to accurately match the binding of nanorings with four or eight binding units to cells expressing a known abundance of receptor partners (Fig.</w:t>
      </w:r>
      <w:r>
        <w:t xml:space="preserve"> </w:t>
      </w:r>
      <w:hyperlink w:anchor="fig:Csizmar">
        <w:r>
          <w:rPr>
            <w:rStyle w:val="Hyperlink"/>
          </w:rPr>
          <w:t xml:space="preserve">8</w:t>
        </w:r>
      </w:hyperlink>
      <w:r>
        <w:t xml:space="preserve">a).</w:t>
      </w:r>
    </w:p>
    <w:p>
      <w:pPr>
        <w:pStyle w:val="BodyText"/>
      </w:pPr>
      <w:r>
        <w:t xml:space="preserve">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18</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w:t>
      </w:r>
      <w:r>
        <w:t xml:space="preserve">and the valency of the ligand is varied across subplots. It is shown that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when considering multivalent binding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is shown by our model, and as many previous studies have suggested, multi-valent ligands can demonstrate particular selectivity to target populations with high receptor abundances when their subunits have low affinity to the receptors.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17</w:t>
        </w:r>
      </w:hyperlink>
      <w:r>
        <w:t xml:space="preserve"> </w:t>
      </w:r>
      <w:r>
        <w:t xml:space="preserve">Comparing binding between cell populations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For any specific multivalent ligand at equilibrium, it may bind to any amount of receptors no higher than its valency, which we will refer to as its binding degree. Our model allowed us to identify the mechanism of valency-mediated receptor abundance selectivity by examining the distribution of ligands bound at each degree to different cells. A cell expressing</w:t>
      </w:r>
      <w:r>
        <w:t xml:space="preserve"> </w:t>
      </w:r>
      <m:oMath>
        <m:sSup>
          <m:e>
            <m:r>
              <m:t>10</m:t>
            </m:r>
          </m:e>
          <m:sup>
            <m:r>
              <m:t>4</m:t>
            </m:r>
          </m:sup>
        </m:sSup>
      </m:oMath>
      <w:r>
        <w:t xml:space="preserve"> </w:t>
      </w:r>
      <w:r>
        <w:t xml:space="preserve">receptors displays similar amounts of binding at each degree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higher-degree binding for ligand complexes of low binding affinity (Fig.</w:t>
      </w:r>
      <w:r>
        <w:t xml:space="preserve"> </w:t>
      </w:r>
      <w:hyperlink w:anchor="fig:valency">
        <w:r>
          <w:rPr>
            <w:rStyle w:val="Hyperlink"/>
          </w:rPr>
          <w:t xml:space="preserve">3</w:t>
        </w:r>
      </w:hyperlink>
      <w:r>
        <w:t xml:space="preserve">f). This effect arises due to the ligand’s rate of dissociation being larger than its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bound by having them binding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19</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20</w:t>
        </w:r>
      </w:hyperlink>
      <w:r>
        <w:t xml:space="preserve"> </w:t>
      </w:r>
      <w:r>
        <w:t xml:space="preserve">Therefore, it is important to understand how mixtures of complexes influence the overall response.</w:t>
      </w:r>
    </w:p>
    <w:p>
      <w:pPr>
        <w:pStyle w:val="BodyText"/>
      </w:pPr>
      <w:r>
        <w:t xml:space="preserve">To evaluate the contribution of mixtures, we evaluated model-predicted binding while varying the composition between two ligands with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16</w:t>
        </w:r>
      </w:hyperlink>
      <w:r>
        <w:rPr>
          <w:vertAlign w:val="superscript"/>
        </w:rPr>
        <w:t xml:space="preserve">,</w:t>
      </w:r>
      <w:hyperlink w:anchor="ref-8lU1hNlA">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However, the number of possible configurations of multispecific drugs is combinatorially large and impossible to enumerate. Here, we use the heterovalent bispecific ligand as an example to explore the unique benefit of multispecificity distinct from any strategy analyzed before. Here, we compare bispecificity with a 50%-50% mixture of two monovalent ligands, and a 50%-50% mixture of two different homogeneous bivalent ligands.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advantages afforded by heterovalent ligands.</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 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r>
        <w:t xml:space="preserve"> </w:t>
      </w:r>
      <w:r>
        <w:t xml:space="preserve">We investigated if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For the heterovalent bispecific case, ligand fully bound will only account for the amount of ligand with both of their ligand monomers bind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e). The contour plot of fully bound bispecific ligands has more concaved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e). This concavity of contour lines indicates that for bispecific complexes, double-positive cells bind more ligands fully than singly-positively expressed cells.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depends on the propensity of crosslinking, captured by</w:t>
      </w:r>
      <w:r>
        <w:t xml:space="preserve"> </w:t>
      </w:r>
      <m:oMath>
        <m:sSubSup>
          <m:e>
            <m:r>
              <m:t>K</m:t>
            </m:r>
          </m:e>
          <m:sub>
            <m:r>
              <m:t>x</m:t>
            </m:r>
          </m:sub>
          <m:sup>
            <m:r>
              <m:t>*</m:t>
            </m:r>
          </m:sup>
        </m:sSubSup>
      </m:oMath>
      <w:r>
        <w:t xml:space="preserve">. It describes how easily a multivalent ligand bound to a cell monovalently can attain secondary binding. Typically in biochemistry, when there is less steric hindrance among the subunits of a multivalent drug molecule (e.g. longer tether and smaller subunit size), or when there is local receptor clustering on the target cell, secondary binding will be easier to achieve, corresponding to larger</w:t>
      </w:r>
      <w:r>
        <w:t xml:space="preserve"> </w:t>
      </w:r>
      <m:oMath>
        <m:sSubSup>
          <m:e>
            <m:r>
              <m:t>K</m:t>
            </m:r>
          </m:e>
          <m:sub>
            <m:r>
              <m:t>x</m:t>
            </m:r>
          </m:sub>
          <m:sup>
            <m:r>
              <m:t>*</m:t>
            </m:r>
          </m:sup>
        </m:sSubSup>
      </m:oMath>
      <w:r>
        <w:t xml:space="preserve">. 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hyperlink w:anchor="fig:bispecific">
        <w:r>
          <w:rPr>
            <w:rStyle w:val="Hyperlink"/>
          </w:rPr>
          <w:t xml:space="preserve">5</w:t>
        </w:r>
      </w:hyperlink>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compared the selectivities between some chosen target-to-off-target cell population pairs under bispecific drugs versus another drugs given a range of</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g,h). These plotted numbers are the selectivities imparted by a bispecific drug divided by the selectivities from a drug mixture of either monovalent (Fig.</w:t>
      </w:r>
      <w:r>
        <w:t xml:space="preserve"> </w:t>
      </w:r>
      <w:hyperlink w:anchor="fig:bispecific">
        <w:r>
          <w:rPr>
            <w:rStyle w:val="Hyperlink"/>
          </w:rPr>
          <w:t xml:space="preserve">5</w:t>
        </w:r>
      </w:hyperlink>
      <w:r>
        <w:t xml:space="preserve">g) or homogeneous bivalent (Fig.</w:t>
      </w:r>
      <w:r>
        <w:t xml:space="preserve"> </w:t>
      </w:r>
      <w:hyperlink w:anchor="fig:bispecific">
        <w:r>
          <w:rPr>
            <w:rStyle w:val="Hyperlink"/>
          </w:rPr>
          <w:t xml:space="preserve">5</w:t>
        </w:r>
      </w:hyperlink>
      <w:r>
        <w:t xml:space="preserve">h). When these quotients are larger, it implies that fully bound bispecific ligand has much larger more advantages than its counterpart to impart selective binding for the chosen target cell populations. Figure</w:t>
      </w:r>
      <w:r>
        <w:t xml:space="preserve"> </w:t>
      </w:r>
      <w:hyperlink w:anchor="fig:bispecific">
        <w:r>
          <w:rPr>
            <w:rStyle w:val="Hyperlink"/>
          </w:rPr>
          <w:t xml:space="preserve">5</w:t>
        </w:r>
      </w:hyperlink>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both therapeutics in comparison only account for fully bound ligands, the effect demonstrated in Figure</w:t>
      </w:r>
      <w:r>
        <w:t xml:space="preserve"> </w:t>
      </w:r>
      <w:hyperlink w:anchor="fig:bispecific">
        <w:r>
          <w:rPr>
            <w:rStyle w:val="Hyperlink"/>
          </w:rPr>
          <w:t xml:space="preserve">5</w:t>
        </w:r>
      </w:hyperlink>
      <w:r>
        <w:t xml:space="preserve">g no longer holds. Together, we showed that bispecific ligands only exhibit unique advantages in inducing selective binding when they can only be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described above provided selectivity benefits in distinct situations, suggesting that they might synergistically improve selectivity when combined. We explored this potential synergy using mathematical optimization to determine the ligand specifications which provided optimal selectivity for our theoretical cell populations. More specifically, we optimized the selectivity of a ligand for a particular population, while considering all other populations to be off-target. Our optimization allowed for ligand characteristics to vary within biologically plausible bounds; which characteristics we allowed to vary defined our examination of the efficacy of our various ligand engineering strategies (Fig.</w:t>
      </w:r>
      <w:r>
        <w:t xml:space="preserve"> </w:t>
      </w:r>
      <w:hyperlink w:anchor="fig:combination">
        <w:r>
          <w:rPr>
            <w:rStyle w:val="Hyperlink"/>
          </w:rPr>
          <w:t xml:space="preserve">6</w:t>
        </w:r>
      </w:hyperlink>
      <w:r>
        <w:t xml:space="preserve">). To simulate the effects of affinity engineering, we allowed ligand-receptor affinities to vary. To understand the effects of valency and mixture engineering on selectivity, we allowed ligand valency and ligand mixture composition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affinity imparts greater specificity, and optimal selectivity is achieved by combining affinity and valency modulations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engineering is unable to impart some small contributions to enhanced selectivity, significant improvement is only achieved when utilizing valency modulation techniques.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any modulation of affinity, valency or combining it with mixture-based strategies seems ineffective. It should be noted that in all described cases, engineering the composition of a mixture of ligands is generaly ineffective for imparting selectivity when the ligand’s design specifications are flexible, and is likely only efficacious when using ligands with static properties and considering multiple off-target populations.</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24</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As binding is dependent upon the properties of both ligands,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Only amount of agonist bound is considered in determination of optimal selectivity. b-d) Heatmap of agonist (b), and antagonist (c) ligand bound for antagonist and agonist ligand combination shown to imaprt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Only amount of agonist bound is considered in determination of optimal selectivity. b-d) Heatmap of agonist (b), and antagonist (c) ligand bound for antagonist and agonist ligand combination shown to imaprt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and these in combination.</w:t>
      </w:r>
    </w:p>
    <w:p>
      <w:pPr>
        <w:pStyle w:val="BodyText"/>
      </w:pPr>
      <w:r>
        <w:t xml:space="preserve">Each strategy’s contribution can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Binding selectivity was enhanced by increasing the affinity of the ligand for those receptors that are more abundantly expressed on the target cells and decreasing its affinity for those that are not. Selectivity depended upon large differences in receptor expression levels between on- and off-target populations. When target and off-target populations expressed the same pattern of receptors and only differed in receptor abundances, modulations in valency, but not affinity, were effective (Fig.</w:t>
      </w:r>
      <w:r>
        <w:t xml:space="preserve"> </w:t>
      </w:r>
      <w:hyperlink w:anchor="fig:valency">
        <w:r>
          <w:rPr>
            <w:rStyle w:val="Hyperlink"/>
          </w:rPr>
          <w:t xml:space="preserve">3</w:t>
        </w:r>
      </w:hyperlink>
      <w:r>
        <w:t xml:space="preserve">). A key determinant of valency’s effectiveness was the secondary binding and unbinding rate which is dependent on both the kinetics of the receptor-ligand interaction and receptor abundance. Ligand mixtures were mostly ineffective for imparting binding selectivity, and only had modest benefits when considering three or more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selectivity.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 for selection of target populations based on their lack of receptor expression (Fig.</w:t>
      </w:r>
      <w:r>
        <w:t xml:space="preserve"> </w:t>
      </w:r>
      <w:hyperlink w:anchor="fig:deadLig">
        <w:r>
          <w:rPr>
            <w:rStyle w:val="Hyperlink"/>
          </w:rPr>
          <w:t xml:space="preserve">7</w:t>
        </w:r>
      </w:hyperlink>
      <w:r>
        <w:t xml:space="preserve">).</w:t>
      </w:r>
    </w:p>
    <w:p>
      <w:pPr>
        <w:pStyle w:val="BodyText"/>
      </w:pPr>
      <w:r>
        <w:t xml:space="preserve">While our multivalent binding model identified strategies for selective targeting in many cases, it also identified situations for which selective binding is challenging. For example, selectively targeting populations based on their absence of receptor expression remains challenging. While we computationally show the potential of using multivalent antagonists with monovalent agonists, implementing this may be challenging. In cases where a target population expresses fewer receptors of any kind than an off-target population, our analysis suggests that targeting other receptors should be considered. However, in cases where target populations express more of any type of receptor than an off-target population, we show that one or more of our formulated ligand engineering strategies can be employed to improve binding selectivity. While we expect the same patterns to apply with greater than two receptors, certain emergent behaviors may exist with tri-specific and more complex ligand binding.</w:t>
      </w:r>
    </w:p>
    <w:p>
      <w:pPr>
        <w:pStyle w:val="BodyText"/>
      </w:pPr>
      <w:r>
        <w:t xml:space="preserve">A few of strategies we explored are already utilized in existing engineered therapies. For example, affinity changes to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selective cell clearance based upon the levels of expressed antigen.</w:t>
      </w:r>
      <w:hyperlink w:anchor="ref-IanZRiFA">
        <w:r>
          <w:rPr>
            <w:rStyle w:val="Hyperlink"/>
            <w:vertAlign w:val="superscript"/>
          </w:rPr>
          <w:t xml:space="preserve">18</w:t>
        </w:r>
      </w:hyperlink>
      <w:r>
        <w:t xml:space="preserve"> </w:t>
      </w:r>
      <w:r>
        <w:t xml:space="preserve">Manipulating of the affinities of the fibronectin domains on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17</w:t>
        </w:r>
      </w:hyperlink>
      <w:r>
        <w:t xml:space="preserve"> </w:t>
      </w:r>
      <w:r>
        <w:t xml:space="preserve">The tendency of low-affinity, multivalent interactions to target cells expressing high receptor abundances was also described in a study describing the selectivity of multivalent antibody binding to tumor cells bound by a bispecific therapeutic ligand.</w:t>
      </w:r>
      <w:hyperlink w:anchor="ref-B0xrCfE3">
        <w:r>
          <w:rPr>
            <w:rStyle w:val="Hyperlink"/>
            <w:vertAlign w:val="superscript"/>
          </w:rPr>
          <w:t xml:space="preserve">13</w:t>
        </w:r>
      </w:hyperlink>
      <w:r>
        <w:t xml:space="preserve"> </w:t>
      </w:r>
      <w:r>
        <w:t xml:space="preserve">These examples lend support to the accuracy of our model. At the same time, recognizing these previously described ligand engineering approaches as separable strategies provides clearer guidance for future engineering.</w:t>
      </w:r>
    </w:p>
    <w:p>
      <w:pPr>
        <w:pStyle w:val="BodyText"/>
      </w:pPr>
      <w:r>
        <w:t xml:space="preserve">Some of the optimization strategies described here have not been exploited in part due to the complexity of real biological applications. First, some strategies may not be biochemically practical. For example, the manipulating ligand affinity requires intricate protein engineering. Potential dynamic changes in the receptor expression profile of a target population also complicate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the expression of certain receptors. In this case, both the current and potential abundance of each receptor must be considered.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for implementation feasibility and facilitating the implementation of strategy combinations.</w:t>
      </w:r>
    </w:p>
    <w:p>
      <w:pPr>
        <w:pStyle w:val="BodyText"/>
      </w:pPr>
      <w:r>
        <w:t xml:space="preserve">In many therapeutic applications where selective engagement of target cell populations is an important performance metric, such as the treatment of cancer, cellular therapies are becoming increasingly popular.</w:t>
      </w:r>
      <w:hyperlink w:anchor="ref-bi6A2xzH">
        <w:r>
          <w:rPr>
            <w:rStyle w:val="Hyperlink"/>
            <w:vertAlign w:val="superscript"/>
          </w:rPr>
          <w:t xml:space="preserve">30</w:t>
        </w:r>
      </w:hyperlink>
      <w:r>
        <w:t xml:space="preserve"> </w:t>
      </w:r>
      <w:r>
        <w:t xml:space="preserve">Human engineered chimeric antigen receptor (CAR) T cells have enhanced the potential to selectively recognize and attack malignant tissues.</w:t>
      </w:r>
      <w:hyperlink w:anchor="ref-Fp4dDXV1">
        <w:r>
          <w:rPr>
            <w:rStyle w:val="Hyperlink"/>
            <w:vertAlign w:val="superscript"/>
          </w:rPr>
          <w:t xml:space="preserve">31</w:t>
        </w:r>
      </w:hyperlink>
      <w:r>
        <w:t xml:space="preserve"> </w:t>
      </w:r>
      <w:r>
        <w:t xml:space="preserve">These technologies bypass ligand-receptor binding restrictions by allowing recognition in signaling response. However, we have shown here that selectivity can often be attained with relatively simple therapeutic ligands. This study lays the framework for how ligand engineering can be directed using computational modeling. It should be noted that the application of this logic is reliant on knowledge of the target and off-target cell population receptor expression levels. Future application of the ligand binding logic described in this study could be guided using high-throughput single-cell profiling techniques, such as RNA-seq or high-parameter flow cytometry. A computational tool that could directly translate such datasets into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16</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number of ligand complexes in the solution is usually much greater than that of the receptors, so we assume binding does not deplete the ligand concentration.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32</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rPr>
            <m:sty m:val="p"/>
          </m:rPr>
          <m:t>m</m:t>
        </m:r>
        <m:r>
          <m:rPr>
            <m:sty m:val="p"/>
          </m:rPr>
          <m:t>M</m:t>
        </m:r>
        <m:r>
          <m:t>∼</m:t>
        </m:r>
        <m:r>
          <m:t>0.1</m:t>
        </m:r>
        <m:r>
          <m:rPr>
            <m:sty m:val="p"/>
          </m:rPr>
          <m:t>n</m:t>
        </m:r>
        <m:r>
          <m:rPr>
            <m:sty m:val="p"/>
          </m:rPr>
          <m:t>M</m:t>
        </m:r>
      </m:oMath>
      <w:r>
        <w:t xml:space="preserve"> </w:t>
      </w:r>
      <w:r>
        <w:t xml:space="preserve">for the affinity dissociation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17</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11gk5tUo7"/>
    <w:p>
      <w:pPr>
        <w:pStyle w:val="Bibliography"/>
      </w:pPr>
      <w:r>
        <w:t xml:space="preserve">16.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76"/>
    <w:bookmarkStart w:id="77" w:name="ref-u2Cb0DBq"/>
    <w:p>
      <w:pPr>
        <w:pStyle w:val="Bibliography"/>
      </w:pPr>
      <w:r>
        <w:t xml:space="preserve">17.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7"/>
    <w:bookmarkStart w:id="78" w:name="ref-IanZRiFA"/>
    <w:p>
      <w:pPr>
        <w:pStyle w:val="Bibliography"/>
      </w:pPr>
      <w:r>
        <w:t xml:space="preserve">18.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8"/>
    <w:bookmarkStart w:id="79" w:name="ref-luDqQ0zL"/>
    <w:p>
      <w:pPr>
        <w:pStyle w:val="Bibliography"/>
      </w:pPr>
      <w:r>
        <w:t xml:space="preserve">19.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9"/>
    <w:bookmarkStart w:id="80" w:name="ref-eR2h4yr3"/>
    <w:p>
      <w:pPr>
        <w:pStyle w:val="Bibliography"/>
      </w:pPr>
      <w:r>
        <w:t xml:space="preserve">20.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0"/>
    <w:bookmarkStart w:id="81" w:name="ref-8lU1hNlA"/>
    <w:p>
      <w:pPr>
        <w:pStyle w:val="Bibliography"/>
      </w:pPr>
      <w:r>
        <w:t xml:space="preserve">21.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8Miti2Gz"/>
    <w:p>
      <w:pPr>
        <w:pStyle w:val="Bibliography"/>
      </w:pPr>
      <w:r>
        <w:t xml:space="preserve">32.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2">
        <w:r>
          <w:rPr>
            <w:rStyle w:val="Hyperlink"/>
          </w:rPr>
          <w:t xml:space="preserve">10.1038/s41592-019-0686-2</w:t>
        </w:r>
      </w:hyperlink>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2020-10-20T22:55:34Z</dcterms:created>
  <dcterms:modified xsi:type="dcterms:W3CDTF">2020-10-20T22:55:34Z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2020-10-20</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