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17,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improvements in cell-specific targeting.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off-target cells binding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amounts (Fig.</w:t>
      </w:r>
      <w:r>
        <w:t xml:space="preserve"> </w:t>
      </w:r>
      <w:hyperlink w:anchor="fig:affinity">
        <w:r>
          <w:rPr>
            <w:rStyle w:val="Hyperlink"/>
          </w:rPr>
          <w:t xml:space="preserve">2</w:t>
        </w:r>
      </w:hyperlink>
      <w:r>
        <w:t xml:space="preserve">c,d). Becuase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Previous work has shown that our binding model can accurately predict the complicated multivalent binding process between IgG antibodies and Fcγ receptors.</w:t>
      </w:r>
      <w:hyperlink w:anchor="ref-11gk5tUo7">
        <w:r>
          <w:rPr>
            <w:rStyle w:val="Hyperlink"/>
            <w:vertAlign w:val="superscript"/>
          </w:rPr>
          <w:t xml:space="preserve">16</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18</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w:t>
      </w:r>
      <w:r>
        <w:t xml:space="preserve">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is shown by our model, and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amount of receptors no higher than its valency, which we will refer to as its binding degree. Our model allowed us to identify the mechanism of valency-mediated receptor abundance selectivity by examining the distribution of ligands bound at each degree to different cells.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16</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For the heterovalent bispecific case, ligand fully bound will only account for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plotted the ratios of selectivities between some cell population pairs under bispecific versus another drugs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ratios of ligand (fully) bound ratios between two cell populations, so when they are larger, it implies that fully bound bispecific ligand has more advantages than its counterpart to impart selective binding between these two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for ligand characteristics to vary within biologically plausible bounds; which characteristics we allowed to vary defined our examination of the efficacy of our various ligand engineering strategies (Fig.</w:t>
      </w:r>
      <w:r>
        <w:t xml:space="preserve"> </w:t>
      </w:r>
      <w:hyperlink w:anchor="fig:combination">
        <w:r>
          <w:rPr>
            <w:rStyle w:val="Hyperlink"/>
          </w:rPr>
          <w:t xml:space="preserve">6</w:t>
        </w:r>
      </w:hyperlink>
      <w:r>
        <w:t xml:space="preserve">). To simulate the effects of affinity engineering, we allowed ligand-receptor affinities to vary. To understand the effects of valency and mixture engineering on selectivity, we allowed ligand valency and ligand mixture composition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Increasing the affinity of the ligand for those receptors that are more abundantly expressed on the target cells, and decreasing its affinity for those that are not enhanced the binding selectivity. Greater differences in receptor expression levels between on- and off-target populations corresponded to greater benefits to selectivity when modulating ligand affinties. When target and off-target populations had expressed an identical set of receptors and only differed in receptor abundances, modulations in valency were effective, where changes to only affinity were not (Fig.</w:t>
      </w:r>
      <w:r>
        <w:t xml:space="preserve"> </w:t>
      </w:r>
      <w:hyperlink w:anchor="fig:valency">
        <w:r>
          <w:rPr>
            <w:rStyle w:val="Hyperlink"/>
          </w:rPr>
          <w:t xml:space="preserve">3</w:t>
        </w:r>
      </w:hyperlink>
      <w:r>
        <w:t xml:space="preserve">). A key determinant of valency change efficacy was the secondary binding and unbinding rate which was greatly dependent on the kinetics of the receptor-ligand interactions and the difference in receptor abundance. Mixtures of therapeutic ligands were found to be mostly ineffective in imparting binding selectivity, and only had modest benefits when multiple off-target populations were considered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 (Fig.</w:t>
      </w:r>
      <w:r>
        <w:t xml:space="preserve"> </w:t>
      </w:r>
      <w:hyperlink w:anchor="fig:deadLig">
        <w:r>
          <w:rPr>
            <w:rStyle w:val="Hyperlink"/>
          </w:rPr>
          <w:t xml:space="preserve">7</w:t>
        </w:r>
      </w:hyperlink>
      <w:r>
        <w:t xml:space="preserve">).</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selective binding to. For example, target populations that unilaterally express fewer receptors of every type than off-target populations present a unique challenge for the design of a selective ligand. While we computationally show the potential for the simultaneous use of multivalent antagonistic ligands, which bind but do not induce a response, and monovalent agonists to exploit reduced receptor expression levels, the translation of such a therapeutic to a clinical application remains questionable.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18</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interactions between antibodies and therapeutic bound to receptors most prevalently expressed on tumor cells.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and precise modulation is difficult to attain.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the expression of certain receptors. In this case, not only should the abundance of receptors be considered, but also their variance within a cell population over time.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relatively simple ligand characteristic manipulation. This study lays the framework for how protein engineering specifications can be defined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16</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11gk5tUo7"/>
    <w:p>
      <w:pPr>
        <w:pStyle w:val="Bibliography"/>
      </w:pPr>
      <w:r>
        <w:t xml:space="preserve">16.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IanZRiFA"/>
    <w:p>
      <w:pPr>
        <w:pStyle w:val="Bibliography"/>
      </w:pPr>
      <w:r>
        <w:t xml:space="preserve">18.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2020-10-17T21:41:57Z</dcterms:created>
  <dcterms:modified xsi:type="dcterms:W3CDTF">2020-10-17T21:41:57Z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2020-10-17</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