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November 24, 2020.</w:t>
      </w:r>
      <w:r>
        <w:t xml:space="preserve"> </w:t>
      </w:r>
    </w:p>
    <w:bookmarkStart w:id="27" w:name="authors"/>
    <w:p>
      <w:pPr>
        <w:pStyle w:val="Heading2"/>
      </w:pPr>
      <w:r>
        <w:t xml:space="preserve">Authors</w:t>
      </w:r>
    </w:p>
    <w:p>
      <w:pPr>
        <w:numPr>
          <w:ilvl w:val="0"/>
          <w:numId w:val="1001"/>
        </w:numPr>
      </w:pPr>
      <w:r>
        <w:rPr>
          <w:b/>
        </w:rPr>
        <w:t xml:space="preserve">Zhixin Cyrillus Tan</w:t>
      </w:r>
      <w:r>
        <w:t xml:space="preserve"> </w:t>
      </w:r>
      <w:r>
        <w:t xml:space="preserve">ORCID</w:t>
      </w:r>
      <w:r>
        <w:t xml:space="preserve"> </w:t>
      </w:r>
      <w:hyperlink r:id="rId20">
        <w:r>
          <w:rPr>
            <w:rStyle w:val="Hyperlink"/>
          </w:rPr>
          <w:t xml:space="preserve">0000-0002-5498-5509</w:t>
        </w:r>
      </w:hyperlink>
      <w:r>
        <w:t xml:space="preserve"> </w:t>
      </w:r>
      <w:r>
        <w:t xml:space="preserve">· Github</w:t>
      </w:r>
      <w:r>
        <w:t xml:space="preserve"> </w:t>
      </w:r>
      <w:hyperlink r:id="rId21">
        <w:r>
          <w:rPr>
            <w:rStyle w:val="Hyperlink"/>
          </w:rPr>
          <w:t xml:space="preserve">cyrillustan</w:t>
        </w:r>
      </w:hyperlink>
      <w:r>
        <w:t xml:space="preserve"> </w:t>
      </w:r>
      <w:r>
        <w:t xml:space="preserve"> </w:t>
      </w:r>
      <w:r>
        <w:t xml:space="preserve">Bioinformatics Interdepartmental Program, University of California, Los Angeles; These authors contributed equally.</w:t>
      </w:r>
      <w:r>
        <w:t xml:space="preserve"> </w:t>
      </w:r>
    </w:p>
    <w:p>
      <w:pPr>
        <w:numPr>
          <w:ilvl w:val="0"/>
          <w:numId w:val="1001"/>
        </w:numPr>
      </w:pPr>
      <w:r>
        <w:rPr>
          <w:b/>
        </w:rPr>
        <w:t xml:space="preserve">Brian Orcutt-Jahns</w:t>
      </w:r>
      <w:r>
        <w:t xml:space="preserve"> </w:t>
      </w:r>
      <w:r>
        <w:t xml:space="preserve">ORCID</w:t>
      </w:r>
      <w:r>
        <w:t xml:space="preserve"> </w:t>
      </w:r>
      <w:hyperlink r:id="rId22">
        <w:r>
          <w:rPr>
            <w:rStyle w:val="Hyperlink"/>
          </w:rPr>
          <w:t xml:space="preserve">0000-0002-1436-1224</w:t>
        </w:r>
      </w:hyperlink>
      <w:r>
        <w:t xml:space="preserve"> </w:t>
      </w:r>
      <w:r>
        <w:t xml:space="preserve">· Github</w:t>
      </w:r>
      <w:r>
        <w:t xml:space="preserve"> </w:t>
      </w:r>
      <w:hyperlink r:id="rId23">
        <w:r>
          <w:rPr>
            <w:rStyle w:val="Hyperlink"/>
          </w:rPr>
          <w:t xml:space="preserve">borcuttjahns</w:t>
        </w:r>
      </w:hyperlink>
      <w:r>
        <w:t xml:space="preserve"> </w:t>
      </w:r>
      <w:r>
        <w:t xml:space="preserve"> </w:t>
      </w:r>
      <w:r>
        <w:t xml:space="preserve">Department of Bioengineering, University of California, Los Angeles; These authors contributed equally.</w:t>
      </w:r>
      <w:r>
        <w:t xml:space="preserve"> </w:t>
      </w:r>
    </w:p>
    <w:p>
      <w:pPr>
        <w:numPr>
          <w:ilvl w:val="0"/>
          <w:numId w:val="1001"/>
        </w:numPr>
      </w:pPr>
      <w:r>
        <w:rPr>
          <w:b/>
        </w:rPr>
        <w:t xml:space="preserve">Aaron S. Meyer</w:t>
      </w:r>
      <w:r>
        <w:t xml:space="preserve"> </w:t>
      </w:r>
      <w:r>
        <w:t xml:space="preserve">ORCID</w:t>
      </w:r>
      <w:r>
        <w:t xml:space="preserve"> </w:t>
      </w:r>
      <w:hyperlink r:id="rId24">
        <w:r>
          <w:rPr>
            <w:rStyle w:val="Hyperlink"/>
          </w:rPr>
          <w:t xml:space="preserve">0000-0003-4513-1840</w:t>
        </w:r>
      </w:hyperlink>
      <w:r>
        <w:t xml:space="preserve"> </w:t>
      </w:r>
      <w:r>
        <w:t xml:space="preserve">· Github</w:t>
      </w:r>
      <w:r>
        <w:t xml:space="preserve"> </w:t>
      </w:r>
      <w:hyperlink r:id="rId25">
        <w:r>
          <w:rPr>
            <w:rStyle w:val="Hyperlink"/>
          </w:rPr>
          <w:t xml:space="preserve">aarmey</w:t>
        </w:r>
      </w:hyperlink>
      <w:r>
        <w:t xml:space="preserve"> </w:t>
      </w:r>
      <w:r>
        <w:t xml:space="preserve">· twitter</w:t>
      </w:r>
      <w:r>
        <w:t xml:space="preserve"> </w:t>
      </w:r>
      <w:hyperlink r:id="rId26">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bookmarkEnd w:id="27"/>
    <w:bookmarkStart w:id="28" w:name="abstract"/>
    <w:p>
      <w:pPr>
        <w:pStyle w:val="Heading2"/>
      </w:pPr>
      <w:r>
        <w:t xml:space="preserve">Abstract</w:t>
      </w:r>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bookmarkEnd w:id="28"/>
    <w:bookmarkStart w:id="29" w:name="summary-points"/>
    <w:p>
      <w:pPr>
        <w:pStyle w:val="Heading2"/>
      </w:pPr>
      <w:r>
        <w:t xml:space="preserve">Summary points</w:t>
      </w:r>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bookmarkEnd w:id="29"/>
    <w:bookmarkStart w:id="30" w:name="introduction"/>
    <w:p>
      <w:pPr>
        <w:pStyle w:val="Heading2"/>
      </w:pPr>
      <w:r>
        <w:t xml:space="preserve">Introduction</w:t>
      </w:r>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oi:10.1158/1078-0432.CCR-09-1735">
        <w:r>
          <w:rPr>
            <w:rStyle w:val="Hyperlink"/>
            <w:b/>
            <w:vertAlign w:val="superscript"/>
          </w:rPr>
          <w:t xml:space="preserve">doi:10.1158/1078-0432.CCR-09-1735?</w:t>
        </w:r>
      </w:hyperlink>
      <w:r>
        <w:t xml:space="preserve"> targeted inhibitors,</w:t>
      </w:r>
      <w:hyperlink w:anchor="ref-pmid:20129249">
        <w:r>
          <w:rPr>
            <w:rStyle w:val="Hyperlink"/>
            <w:b/>
            <w:vertAlign w:val="superscript"/>
          </w:rPr>
          <w:t xml:space="preserve">pmid:20129249?</w:t>
        </w:r>
      </w:hyperlink>
      <w:r>
        <w:t xml:space="preserve"> chemotherapies,</w:t>
      </w:r>
      <w:hyperlink w:anchor="ref-doi:10.1016/j.cell.2016.03.025">
        <w:r>
          <w:rPr>
            <w:rStyle w:val="Hyperlink"/>
            <w:b/>
            <w:vertAlign w:val="superscript"/>
          </w:rPr>
          <w:t xml:space="preserve">doi:10.1016/j.cell.2016.03.025?</w:t>
        </w:r>
      </w:hyperlink>
      <w:r>
        <w:t xml:space="preserve"> and chimeric antigen receptor T cells</w:t>
      </w:r>
      <w:hyperlink w:anchor="ref-doi:10.1056/NEJMoa1407222">
        <w:r>
          <w:rPr>
            <w:rStyle w:val="Hyperlink"/>
            <w:b/>
            <w:vertAlign w:val="superscript"/>
          </w:rPr>
          <w:t xml:space="preserve">doi:10.1056/NEJMoa1407222?</w:t>
        </w:r>
      </w:hyperlink>
      <w:r>
        <w:rPr>
          <w:vertAlign w:val="superscript"/>
        </w:rPr>
        <w:t xml:space="preserve">,</w:t>
      </w:r>
      <w:hyperlink w:anchor="ref-doi:10.1126/scitranslmed.aaa0984">
        <w:r>
          <w:rPr>
            <w:rStyle w:val="Hyperlink"/>
            <w:b/>
            <w:vertAlign w:val="superscript"/>
          </w:rPr>
          <w:t xml:space="preserve">doi:10.1126/scitranslmed.aaa0984?</w:t>
        </w:r>
      </w:hyperlink>
      <w:r>
        <w:t xml:space="preserve"> </w:t>
      </w:r>
      <w:r>
        <w:t xml:space="preserve">all can arise through the selection of target cells among heterogeneous cell populations. While the immune system takes advantage of heterogeneity at the single-cell level to translate noisy inflammatory signals into robust yet sensitive responses,</w:t>
      </w:r>
      <w:hyperlink w:anchor="ref-PMID:24919153">
        <w:r>
          <w:rPr>
            <w:rStyle w:val="Hyperlink"/>
            <w:b/>
            <w:vertAlign w:val="superscript"/>
          </w:rPr>
          <w:t xml:space="preserve">PMID:24919153?</w:t>
        </w:r>
      </w:hyperlink>
      <w:r>
        <w:t xml:space="preserve"> this heterogeneity impedes our effort of creating a highly specific drug. The intricacies of both inter-population receptor expression differences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mid:25992859">
        <w:r>
          <w:rPr>
            <w:rStyle w:val="Hyperlink"/>
            <w:b/>
            <w:vertAlign w:val="superscript"/>
          </w:rPr>
          <w:t xml:space="preserve">pmid:25992859?</w:t>
        </w:r>
      </w:hyperlink>
      <w:r>
        <w:t xml:space="preserve"> This strategy can enhance specificity, but only to a limited degree, particularly when target cells can only be distinguished by subtle quantitative differences in surface antigen or by combinations of markers. The limitations of single-antigen targeting have led to efforts to program complex logic into cellular therapies to recognize target cells more specifically.</w:t>
      </w:r>
      <w:hyperlink w:anchor="ref-doi:10.1126/science.aay2790">
        <w:r>
          <w:rPr>
            <w:rStyle w:val="Hyperlink"/>
            <w:b/>
            <w:vertAlign w:val="superscript"/>
          </w:rPr>
          <w:t xml:space="preserve">doi:10.1126/science.aay2790?</w:t>
        </w:r>
      </w:hyperlink>
      <w:r>
        <w:rPr>
          <w:vertAlign w:val="superscript"/>
        </w:rPr>
        <w:t xml:space="preserve">,</w:t>
      </w:r>
      <w:hyperlink w:anchor="ref-pmid:30889382">
        <w:r>
          <w:rPr>
            <w:rStyle w:val="Hyperlink"/>
            <w:b/>
            <w:vertAlign w:val="superscript"/>
          </w:rPr>
          <w:t xml:space="preserve">pmid:30889382?</w:t>
        </w:r>
      </w:hyperlink>
      <w:r>
        <w:rPr>
          <w:vertAlign w:val="superscript"/>
        </w:rPr>
        <w:t xml:space="preserve">,</w:t>
      </w:r>
      <w:hyperlink w:anchor="ref-doi:10.1016/j.cell.2018.03.038">
        <w:r>
          <w:rPr>
            <w:rStyle w:val="Hyperlink"/>
            <w:b/>
            <w:vertAlign w:val="superscript"/>
          </w:rPr>
          <w:t xml:space="preserve">doi:10.1016/j.cell.2018.03.038?</w:t>
        </w:r>
      </w:hyperlink>
      <w:r>
        <w:t xml:space="preserve"> 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doi:10.1101/812131">
        <w:r>
          <w:rPr>
            <w:rStyle w:val="Hyperlink"/>
            <w:b/>
            <w:vertAlign w:val="superscript"/>
          </w:rPr>
          <w:t xml:space="preserve">doi:10.1101/812131?</w:t>
        </w:r>
      </w:hyperlink>
      <w:r>
        <w:t xml:space="preserve"> Here, we analyze a suite of molecular approaches for engineering cell-specific binding using a multi-valent, multi-receptor, multi-ligand binding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multi-valent ligands can offer offer effective cell specific targeting without the need to engineer complex cellular therapies, and that their design can be guided using a mechanistic binding model.</w:t>
      </w:r>
    </w:p>
    <w:bookmarkEnd w:id="30"/>
    <w:bookmarkStart w:id="45" w:name="results"/>
    <w:p>
      <w:pPr>
        <w:pStyle w:val="Heading2"/>
      </w:pPr>
      <w:r>
        <w:t xml:space="preserve">Results</w:t>
      </w:r>
    </w:p>
    <w:bookmarkStart w:id="32" w:name="Xa70cdaa3dbe889b14a8f05afb46e79dd8fc01bf"/>
    <w:p>
      <w:pPr>
        <w:pStyle w:val="Heading3"/>
      </w:pPr>
      <w:r>
        <w:t xml:space="preserve">A Model System to Explore the Factors Contributing to Cell Selectivity</w:t>
      </w:r>
    </w:p>
    <w:bookmarkStart w:id="0" w:name="fig:model"/>
    <w:p>
      <w:pPr>
        <w:pStyle w:val="CaptionedFigure"/>
      </w:pPr>
      <w:bookmarkStart w:id="31"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1"/>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a necessary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binding to off-target cells is an area of ongoing research, and has inspired a myriad of drug design strategies.</w:t>
      </w:r>
      <w:hyperlink w:anchor="ref-doi:10.1038/sj.bjc.6604700">
        <w:r>
          <w:rPr>
            <w:rStyle w:val="Hyperlink"/>
            <w:b/>
            <w:vertAlign w:val="superscript"/>
          </w:rPr>
          <w:t xml:space="preserve">doi:10.1038/sj.bjc.6604700?</w:t>
        </w:r>
      </w:hyperlink>
      <w:r>
        <w:rPr>
          <w:vertAlign w:val="superscript"/>
        </w:rPr>
        <w:t xml:space="preserve">,</w:t>
      </w:r>
      <w:hyperlink w:anchor="ref-doi:10.1021/cb6003788">
        <w:r>
          <w:rPr>
            <w:rStyle w:val="Hyperlink"/>
            <w:b/>
            <w:vertAlign w:val="superscript"/>
          </w:rPr>
          <w:t xml:space="preserve">doi:10.1021/cb6003788?</w:t>
        </w:r>
      </w:hyperlink>
      <w:r>
        <w:rPr>
          <w:vertAlign w:val="superscript"/>
        </w:rPr>
        <w:t xml:space="preserve">,</w:t>
      </w:r>
      <w:hyperlink w:anchor="ref-doi:10.1038/s41586-018-0830-7">
        <w:r>
          <w:rPr>
            <w:rStyle w:val="Hyperlink"/>
            <w:b/>
            <w:vertAlign w:val="superscript"/>
          </w:rPr>
          <w:t xml:space="preserve">doi:10.1038/s41586-018-0830-7?</w:t>
        </w:r>
      </w:hyperlink>
      <w:r>
        <w:t xml:space="preserve"> 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DOI:10.1073/pnas.0812851107">
        <w:r>
          <w:rPr>
            <w:rStyle w:val="Hyperlink"/>
            <w:b/>
            <w:vertAlign w:val="superscript"/>
          </w:rPr>
          <w:t xml:space="preserve">DOI:10.1073/pnas.0812851107?</w:t>
        </w:r>
      </w:hyperlink>
      <w:r>
        <w:t xml:space="preserve"> 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using sigma point filters.</w:t>
      </w:r>
      <w:hyperlink w:anchor="ref-wikidata:Q99353631">
        <w:r>
          <w:rPr>
            <w:rStyle w:val="Hyperlink"/>
            <w:b/>
            <w:vertAlign w:val="superscript"/>
          </w:rPr>
          <w:t xml:space="preserve">wikidata:Q99353631?</w:t>
        </w:r>
      </w:hyperlink>
      <w:r>
        <w:t xml:space="preserve">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bookmarkEnd w:id="32"/>
    <w:bookmarkStart w:id="34" w:name="X3f454457126066982ffeefe0ffacd278d4d7c10"/>
    <w:p>
      <w:pPr>
        <w:pStyle w:val="Heading3"/>
      </w:pPr>
      <w:r>
        <w:t xml:space="preserve">Affinity Provides Selectivity Toward Cell Populations with Divergent Receptor Expression</w:t>
      </w:r>
    </w:p>
    <w:bookmarkStart w:id="0" w:name="fig:affinity"/>
    <w:p>
      <w:pPr>
        <w:pStyle w:val="CaptionedFigure"/>
      </w:pPr>
      <w:bookmarkStart w:id="33"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3"/>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and effective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abundances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bookmarkEnd w:id="34"/>
    <w:bookmarkStart w:id="36" w:name="Xbf61cf771d8dee967b9caf4848bd57facde9c74"/>
    <w:p>
      <w:pPr>
        <w:pStyle w:val="Heading3"/>
      </w:pPr>
      <w:r>
        <w:t xml:space="preserve">Valency Enables Selectivity Based on Quantitative Differences in Receptor Abundance</w:t>
      </w:r>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complicated multivalent binding process between IgG antibodies and Fcγ receptors.</w:t>
      </w:r>
      <w:hyperlink w:anchor="ref-pmid:29960887">
        <w:r>
          <w:rPr>
            <w:rStyle w:val="Hyperlink"/>
            <w:b/>
            <w:vertAlign w:val="superscript"/>
          </w:rPr>
          <w:t xml:space="preserve">pmid:29960887?</w:t>
        </w:r>
      </w:hyperlink>
      <w:r>
        <w:t xml:space="preserve"> To further demonstrate our model’s capacity to predict multivalent binding activity, we fit our model to a set of published experimental measurements wherein fluorescently labeled nanorings were assembled with specific numbers of binding units.</w:t>
      </w:r>
      <w:hyperlink w:anchor="ref-doi:10.1021/jacs.8b09198">
        <w:r>
          <w:rPr>
            <w:rStyle w:val="Hyperlink"/>
            <w:b/>
            <w:vertAlign w:val="superscript"/>
          </w:rPr>
          <w:t xml:space="preserve">doi:10.1021/jacs.8b09198?</w:t>
        </w:r>
      </w:hyperlink>
      <w:r>
        <w:t xml:space="preserve"> 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doi:10.1038/srep40098">
        <w:r>
          <w:rPr>
            <w:rStyle w:val="Hyperlink"/>
            <w:b/>
            <w:vertAlign w:val="superscript"/>
          </w:rPr>
          <w:t xml:space="preserve">doi:10.1038/srep40098?</w:t>
        </w:r>
      </w:hyperlink>
      <w:r>
        <w:t xml:space="preserve"> 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doi:10.1021/cb6003788">
        <w:r>
          <w:rPr>
            <w:rStyle w:val="Hyperlink"/>
            <w:b/>
            <w:vertAlign w:val="superscript"/>
          </w:rPr>
          <w:t xml:space="preserve">doi:10.1021/cb6003788?</w:t>
        </w:r>
      </w:hyperlink>
      <w:r>
        <w:rPr>
          <w:vertAlign w:val="superscript"/>
        </w:rPr>
        <w:t xml:space="preserve">,</w:t>
      </w:r>
      <w:hyperlink w:anchor="ref-doi:10.1021/jacs.8b09198">
        <w:r>
          <w:rPr>
            <w:rStyle w:val="Hyperlink"/>
            <w:b/>
            <w:vertAlign w:val="superscript"/>
          </w:rPr>
          <w:t xml:space="preserve">doi:10.1021/jacs.8b09198?</w:t>
        </w:r>
      </w:hyperlink>
      <w:r>
        <w:t xml:space="preserve"> Comparing binding between cell populations predicted by our model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filters.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steric effects and changes in local concentration, but low affinity and receptor density severely limit the possibility of secondary binding events. In contrast, cells with a higher abundance of receptors accumulate ligand bound by having them bind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5"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5"/>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bookmarkEnd w:id="36"/>
    <w:bookmarkStart w:id="38" w:name="X7f819264ae88ea78993615f064bd20b2428e55e"/>
    <w:p>
      <w:pPr>
        <w:pStyle w:val="Heading3"/>
      </w:pPr>
      <w:r>
        <w:t xml:space="preserve">Non-Overlapping Ligand Targeting Drives a Limited Selectivity Enhancement of Mixtures</w:t>
      </w:r>
    </w:p>
    <w:p>
      <w:pPr>
        <w:pStyle w:val="FirstParagraph"/>
      </w:pPr>
      <w:r>
        <w:t xml:space="preserve">While most therapies rely on the action of a single molecular species, mixtures may enhance selectivity through combinations of actions.</w:t>
      </w:r>
      <w:hyperlink w:anchor="ref-doi:10.1038/nbt.1549">
        <w:r>
          <w:rPr>
            <w:rStyle w:val="Hyperlink"/>
            <w:b/>
            <w:vertAlign w:val="superscript"/>
          </w:rPr>
          <w:t xml:space="preserve">doi:10.1038/nbt.1549?</w:t>
        </w:r>
      </w:hyperlink>
      <w:r>
        <w:t xml:space="preserve"> Furthermore, some biologics inevitably act as mixtures of species through heterogeneity in glycosylation and the presence of endogenous ligands.</w:t>
      </w:r>
      <w:hyperlink w:anchor="ref-DOI:10.1002/rcm.3330">
        <w:r>
          <w:rPr>
            <w:rStyle w:val="Hyperlink"/>
            <w:b/>
            <w:vertAlign w:val="superscript"/>
          </w:rPr>
          <w:t xml:space="preserve">DOI:10.1002/rcm.3330?</w:t>
        </w:r>
      </w:hyperlink>
      <w:r>
        <w:t xml:space="preserve"> Therefore, it is important to understand how mixtures of complexes influence overall response.</w:t>
      </w:r>
    </w:p>
    <w:p>
      <w:pPr>
        <w:pStyle w:val="BodyText"/>
      </w:pPr>
      <w:r>
        <w:t xml:space="preserve">To evaluate the contribution of mixtures, we evaluated model-predicted binding while varying the composition between two distinct monovalent ligands, each exhibiting preferential binding to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(Fig.</w:t>
      </w:r>
      <w:r>
        <w:t xml:space="preserve"> </w:t>
      </w:r>
      <w:hyperlink w:anchor="fig:mixture">
        <w:r>
          <w:rPr>
            <w:rStyle w:val="Hyperlink"/>
          </w:rPr>
          <w:t xml:space="preserve">4</w:t>
        </w:r>
      </w:hyperlink>
      <w:r>
        <w:t xml:space="preserve">a).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pmid:28886385">
        <w:r>
          <w:rPr>
            <w:rStyle w:val="Hyperlink"/>
            <w:b/>
            <w:vertAlign w:val="superscript"/>
          </w:rPr>
          <w:t xml:space="preserve">pmid:28886385?</w:t>
        </w:r>
      </w:hyperlink>
      <w:r>
        <w:rPr>
          <w:vertAlign w:val="superscript"/>
        </w:rPr>
        <w:t xml:space="preserve">,</w:t>
      </w:r>
      <w:hyperlink w:anchor="ref-pmid:29960887">
        <w:r>
          <w:rPr>
            <w:rStyle w:val="Hyperlink"/>
            <w:b/>
            <w:vertAlign w:val="superscript"/>
          </w:rPr>
          <w:t xml:space="preserve">pmid:29960887?</w:t>
        </w:r>
      </w:hyperlink>
    </w:p>
    <w:bookmarkStart w:id="0" w:name="fig:mixture"/>
    <w:p>
      <w:pPr>
        <w:pStyle w:val="CaptionedFigure"/>
      </w:pPr>
      <w:bookmarkStart w:id="37"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7"/>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filters.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bookmarkEnd w:id="38"/>
    <w:bookmarkStart w:id="40" w:name="X6121a27614a240825e6e8895d4acf0ebac196e1"/>
    <w:p>
      <w:pPr>
        <w:pStyle w:val="Heading3"/>
      </w:pPr>
      <w:r>
        <w:t xml:space="preserve">Heterovalent Bispecific Ligands Exhibit Unique Charateristics When Activated Fully Bound</w:t>
      </w:r>
    </w:p>
    <w:p>
      <w:pPr>
        <w:pStyle w:val="FirstParagraph"/>
      </w:pPr>
      <w:r>
        <w:t xml:space="preserve">Constructing multispecific drugs has become a promising new strategy for finer target cell specificity with the advancement of engineering techniques.</w:t>
      </w:r>
      <w:hyperlink w:anchor="ref-doi:10.1038/s41586-020-2168-1">
        <w:r>
          <w:rPr>
            <w:rStyle w:val="Hyperlink"/>
            <w:b/>
            <w:vertAlign w:val="superscript"/>
          </w:rPr>
          <w:t xml:space="preserve">doi:10.1038/s41586-020-2168-1?</w:t>
        </w:r>
      </w:hyperlink>
      <w:r>
        <w:t xml:space="preserve"> However, the number of possible configurations of multispecific drugs is combinatorially large and impossible to enumerate. Here, we use heterovalent bispecific ligands as examples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w:t>
      </w:r>
      <w:hyperlink w:anchor="ref-doi:10.1080/19420862.2015.1062192">
        <w:r>
          <w:rPr>
            <w:rStyle w:val="Hyperlink"/>
            <w:b/>
            <w:vertAlign w:val="superscript"/>
          </w:rPr>
          <w:t xml:space="preserve">doi:10.1080/19420862.2015.1062192?</w:t>
        </w:r>
      </w:hyperlink>
      <w:r>
        <w:rPr>
          <w:vertAlign w:val="superscript"/>
        </w:rPr>
        <w:t xml:space="preserve">,</w:t>
      </w:r>
      <w:hyperlink w:anchor="ref-pmid:30145356">
        <w:r>
          <w:rPr>
            <w:rStyle w:val="Hyperlink"/>
            <w:b/>
            <w:vertAlign w:val="superscript"/>
          </w:rPr>
          <w:t xml:space="preserve">pmid:30145356?</w:t>
        </w:r>
      </w:hyperlink>
      <w:r>
        <w:t xml:space="preser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 We investigated whether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cells only strongly expressing one type of receptors.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is dependent on the ligand’s propensity for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w:t>
      </w:r>
      <w:hyperlink w:anchor="ref-doi:10.1016/S0006-3495">
        <w:r>
          <w:rPr>
            <w:rStyle w:val="Hyperlink"/>
            <w:b/>
            <w:vertAlign w:val="superscript"/>
          </w:rPr>
          <w:t xml:space="preserve">doi:10.1016/S0006-3495?</w:t>
        </w:r>
      </w:hyperlink>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39"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39"/>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bookmarkEnd w:id="40"/>
    <w:bookmarkStart w:id="42" w:name="X5a8bba87a1565e1cc47943d74aa22985ccf8689"/>
    <w:p>
      <w:pPr>
        <w:pStyle w:val="Heading3"/>
      </w:pPr>
      <w:r>
        <w:t xml:space="preserve">Combining Strategies For Superior Selectivity</w:t>
      </w:r>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pmid:30145356">
        <w:r>
          <w:rPr>
            <w:rStyle w:val="Hyperlink"/>
            <w:b/>
            <w:vertAlign w:val="superscript"/>
          </w:rPr>
          <w:t xml:space="preserve">pmid:30145356?</w:t>
        </w:r>
      </w:hyperlink>
    </w:p>
    <w:bookmarkStart w:id="0" w:name="fig:combination"/>
    <w:p>
      <w:pPr>
        <w:pStyle w:val="CaptionedFigure"/>
      </w:pPr>
      <w:bookmarkStart w:id="41"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1"/>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bookmarkEnd w:id="42"/>
    <w:bookmarkStart w:id="44" w:name="X94d61dc6a943133c806d80032df7da8a7f37fba"/>
    <w:p>
      <w:pPr>
        <w:pStyle w:val="Heading3"/>
      </w:pPr>
      <w:r>
        <w:t xml:space="preserve">Using Binding Competition to Invert Receptor Targeting</w:t>
      </w:r>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w:t>
      </w:r>
      <w:r>
        <w:t xml:space="preserve">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3"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3"/>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bookmarkEnd w:id="44"/>
    <w:bookmarkEnd w:id="45"/>
    <w:bookmarkStart w:id="46" w:name="discussion"/>
    <w:p>
      <w:pPr>
        <w:pStyle w:val="Heading2"/>
      </w:pPr>
      <w:r>
        <w:t xml:space="preserve">Discussion</w:t>
      </w:r>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antagonist competition,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two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solely considering fully bound ligand (Fig.</w:t>
      </w:r>
      <w:r>
        <w:t xml:space="preserve"> </w:t>
      </w:r>
      <w:hyperlink w:anchor="fig:bispecific">
        <w:r>
          <w:rPr>
            <w:rStyle w:val="Hyperlink"/>
          </w:rPr>
          <w:t xml:space="preserve">5</w:t>
        </w:r>
      </w:hyperlink>
      <w:r>
        <w:t xml:space="preserve">). These ligands exhibit preferential binding to target populations that have high expression of both receptors over those with high expression of only a single receptor, with the propensity for secondary binding acting as a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the unique selection of target populations expressing relatively fewer receptors than off-target populations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to selectively target such populations, implementing this may be challenging in practice.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have been utilized in existing engineered therapies. For example, affinity changes to the cytokine IL-2 have been used to bias its effects towards either effector or regulatory immune populations.</w:t>
      </w:r>
      <w:hyperlink w:anchor="ref-doi:10.1158/2159-8290.CD-18-1495">
        <w:r>
          <w:rPr>
            <w:rStyle w:val="Hyperlink"/>
            <w:b/>
            <w:vertAlign w:val="superscript"/>
          </w:rPr>
          <w:t xml:space="preserve">doi:10.1158/2159-8290.CD-18-1495?</w:t>
        </w:r>
      </w:hyperlink>
      <w:r>
        <w:rPr>
          <w:vertAlign w:val="superscript"/>
        </w:rPr>
        <w:t xml:space="preserve">,</w:t>
      </w:r>
      <w:hyperlink w:anchor="ref-pmid:30446251">
        <w:r>
          <w:rPr>
            <w:rStyle w:val="Hyperlink"/>
            <w:b/>
            <w:vertAlign w:val="superscript"/>
          </w:rPr>
          <w:t xml:space="preserve">pmid:30446251?</w:t>
        </w:r>
      </w:hyperlink>
      <w:r>
        <w:t xml:space="preserve"> Varying the valency of tumor-targeted antibodies leads to selective cell clearance based upon the levels of expressed antigen.</w:t>
      </w:r>
      <w:hyperlink w:anchor="ref-doi:10.1038/srep40098">
        <w:r>
          <w:rPr>
            <w:rStyle w:val="Hyperlink"/>
            <w:b/>
            <w:vertAlign w:val="superscript"/>
          </w:rPr>
          <w:t xml:space="preserve">doi:10.1038/srep40098?</w:t>
        </w:r>
      </w:hyperlink>
      <w:r>
        <w:t xml:space="preserve"> Manipulating of the affinities of the fibronectin domains on octovalent nanorings was shown to enhance the selectivity of binding to cancerous cells displaying relatively higher densities of fibronectin receptors compared to native tissue.</w:t>
      </w:r>
      <w:hyperlink w:anchor="ref-doi:10.1021/jacs.8b09198">
        <w:r>
          <w:rPr>
            <w:rStyle w:val="Hyperlink"/>
            <w:b/>
            <w:vertAlign w:val="superscript"/>
          </w:rPr>
          <w:t xml:space="preserve">doi:10.1021/jacs.8b09198?</w:t>
        </w:r>
      </w:hyperlink>
      <w:r>
        <w:t xml:space="preserve"> The tendency of low-affinity, multivalent interactions to target cells expressing high receptor abundances was also described in a study describing the selectivity of multivalent antibody binding to tumor cells bound by a bispecific therapeutic ligand.</w:t>
      </w:r>
      <w:hyperlink w:anchor="ref-doi:10.1021/cb6003788">
        <w:r>
          <w:rPr>
            <w:rStyle w:val="Hyperlink"/>
            <w:b/>
            <w:vertAlign w:val="superscript"/>
          </w:rPr>
          <w:t xml:space="preserve">doi:10.1021/cb6003788?</w:t>
        </w:r>
      </w:hyperlink>
      <w:r>
        <w:t xml:space="preserve"> These examples lend support to the accuracy and translational value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doi:10.1016/j.devcel.2019.07.010">
        <w:r>
          <w:rPr>
            <w:rStyle w:val="Hyperlink"/>
            <w:b/>
            <w:vertAlign w:val="superscript"/>
          </w:rPr>
          <w:t xml:space="preserve">doi:10.1016/j.devcel.2019.07.010?</w:t>
        </w:r>
      </w:hyperlink>
      <w:r>
        <w:rPr>
          <w:vertAlign w:val="superscript"/>
        </w:rPr>
        <w:t xml:space="preserve">,</w:t>
      </w:r>
      <w:hyperlink w:anchor="ref-doi:10.1158/0008-5472.CAN-13-0602">
        <w:r>
          <w:rPr>
            <w:rStyle w:val="Hyperlink"/>
            <w:b/>
            <w:vertAlign w:val="superscript"/>
          </w:rPr>
          <w:t xml:space="preserve">doi:10.1158/0008-5472.CAN-13-0602?</w:t>
        </w:r>
      </w:hyperlink>
      <w:r>
        <w:t xml:space="preserve"> </w:t>
      </w:r>
      <w:r>
        <w:t xml:space="preserve">or downregulating</w:t>
      </w:r>
      <w:hyperlink w:anchor="ref-pmid:14534734">
        <w:r>
          <w:rPr>
            <w:rStyle w:val="Hyperlink"/>
            <w:b/>
            <w:vertAlign w:val="superscript"/>
          </w:rPr>
          <w:t xml:space="preserve">pmid:14534734?</w:t>
        </w:r>
      </w:hyperlink>
      <w:r>
        <w:t xml:space="preserve"> </w:t>
      </w:r>
      <w:r>
        <w:t xml:space="preserve">the expression of certain receptors. In this case, both the current and potential abundance of each receptor must be considered. While this work does not address many of these issues, we propose that using a computational binding model can analyze these strategies quantitatively and collectively from a mechanistic perspective. Even when the absolute mathematically optimal ligand characteristics cannot be achieved biochemically, our analyses provide good guidance to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Xeddd29a1d91d18f0470a23d37ad9fb61648bd6d">
        <w:r>
          <w:rPr>
            <w:rStyle w:val="Hyperlink"/>
            <w:b/>
            <w:vertAlign w:val="superscript"/>
          </w:rPr>
          <w:t xml:space="preserve">doi:10.1146/annurev-immunol-042718-041407?</w:t>
        </w:r>
      </w:hyperlink>
      <w:r>
        <w:t xml:space="preserve"> Human engineered chimeric antigen receptor (CAR) T cells have enhanced the potential to selectively recognize and attack malignant tissues.</w:t>
      </w:r>
      <w:hyperlink w:anchor="ref-doi:10.1016/j.ymthe.2017.06.012">
        <w:r>
          <w:rPr>
            <w:rStyle w:val="Hyperlink"/>
            <w:b/>
            <w:vertAlign w:val="superscript"/>
          </w:rPr>
          <w:t xml:space="preserve">doi:10.1016/j.ymthe.2017.06.012?</w:t>
        </w:r>
      </w:hyperlink>
      <w:r>
        <w:t xml:space="preserve"> 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may represent a potential avenue for the translation of our analyses into a more broadly applicable ligand engineering tool.</w:t>
      </w:r>
    </w:p>
    <w:bookmarkEnd w:id="46"/>
    <w:bookmarkStart w:id="54" w:name="materials-and-methods"/>
    <w:p>
      <w:pPr>
        <w:pStyle w:val="Heading2"/>
      </w:pPr>
      <w:r>
        <w:t xml:space="preserve">Materials and Methods</w:t>
      </w:r>
    </w:p>
    <w:bookmarkStart w:id="48" w:name="data-and-software-availability"/>
    <w:p>
      <w:pPr>
        <w:pStyle w:val="Heading3"/>
      </w:pPr>
      <w:r>
        <w:t xml:space="preserve">Data and Software Availability</w:t>
      </w:r>
    </w:p>
    <w:p>
      <w:pPr>
        <w:pStyle w:val="FirstParagraph"/>
      </w:pPr>
      <w:r>
        <w:t xml:space="preserve">All analysis was implemented in Python v3.8, and can be found at</w:t>
      </w:r>
      <w:r>
        <w:t xml:space="preserve"> </w:t>
      </w:r>
      <w:hyperlink r:id="rId47">
        <w:r>
          <w:rPr>
            <w:rStyle w:val="Hyperlink"/>
          </w:rPr>
          <w:t xml:space="preserve">https://github.com/meyer-lab/cell-selective-ligands</w:t>
        </w:r>
      </w:hyperlink>
      <w:r>
        <w:t xml:space="preserve">.</w:t>
      </w:r>
    </w:p>
    <w:bookmarkEnd w:id="48"/>
    <w:bookmarkStart w:id="49" w:name="Xbc4502bc21dcbb32d50a52a1b617accc52dd1c2"/>
    <w:p>
      <w:pPr>
        <w:pStyle w:val="Heading3"/>
      </w:pPr>
      <w:r>
        <w:t xml:space="preserve">Generalized multi-ligand, multi-receptor multivalent binding model</w:t>
      </w:r>
    </w:p>
    <w:p>
      <w:pPr>
        <w:pStyle w:val="FirstParagraph"/>
      </w:pPr>
      <w:r>
        <w:t xml:space="preserve">To model multivalent ligand complexes, we extended our previous binding model to the multi-ligand case.</w:t>
      </w:r>
      <w:hyperlink w:anchor="ref-pmid:29960887">
        <w:r>
          <w:rPr>
            <w:rStyle w:val="Hyperlink"/>
            <w:b/>
            <w:vertAlign w:val="superscript"/>
          </w:rPr>
          <w:t xml:space="preserve">pmid:29960887?</w:t>
        </w:r>
      </w:hyperlink>
      <w:r>
        <w:t xml:space="preserve"> 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bookmarkEnd w:id="49"/>
    <w:bookmarkStart w:id="50" w:name="X24bd08806ffb8547c5a72680f5305356ed2b829"/>
    <w:p>
      <w:pPr>
        <w:pStyle w:val="Heading3"/>
      </w:pPr>
      <w:r>
        <w:t xml:space="preserve">Generalized multivalent binding model with defined complexes</w:t>
      </w:r>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bookmarkEnd w:id="50"/>
    <w:bookmarkStart w:id="51" w:name="mathematical-optimization"/>
    <w:p>
      <w:pPr>
        <w:pStyle w:val="Heading3"/>
      </w:pPr>
      <w:r>
        <w:t xml:space="preserve">Mathematical optimization</w:t>
      </w:r>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doi:10.1038/s41592-019-0686-2">
        <w:r>
          <w:rPr>
            <w:rStyle w:val="Hyperlink"/>
            <w:b/>
            <w:vertAlign w:val="superscript"/>
          </w:rPr>
          <w:t xml:space="preserve">doi:10.1038/s41592-019-0686-2?</w:t>
        </w:r>
      </w:hyperlink>
      <w:r>
        <w:t xml:space="preserve"> 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bookmarkEnd w:id="51"/>
    <w:bookmarkStart w:id="52" w:name="sigma-point-filter"/>
    <w:p>
      <w:pPr>
        <w:pStyle w:val="Heading3"/>
      </w:pPr>
      <w:r>
        <w:t xml:space="preserve">Sigma point filter</w:t>
      </w:r>
    </w:p>
    <w:p>
      <w:pPr>
        <w:pStyle w:val="FirstParagraph"/>
      </w:pPr>
      <w:r>
        <w:t xml:space="preserve">To consider the intrapopulation variance of a cell population in the optimization, we implemented the sigma point filters,</w:t>
      </w:r>
      <w:hyperlink w:anchor="ref-wikidata:Q99353631">
        <w:r>
          <w:rPr>
            <w:rStyle w:val="Hyperlink"/>
            <w:b/>
            <w:vertAlign w:val="superscript"/>
          </w:rPr>
          <w:t xml:space="preserve">wikidata:Q99353631?</w:t>
        </w:r>
      </w:hyperlink>
      <w:r>
        <w:t xml:space="preserve"> a computationally efficient method to approximate the variance proprogated through an ordinary differential equation-based model.</w:t>
      </w:r>
    </w:p>
    <w:bookmarkEnd w:id="52"/>
    <w:bookmarkStart w:id="53" w:name="reimplementation-of-csizmar-et-al."/>
    <w:p>
      <w:pPr>
        <w:pStyle w:val="Heading3"/>
      </w:pPr>
      <w:r>
        <w:t xml:space="preserve">Reimplementation of Csizmar et al.</w:t>
      </w:r>
    </w:p>
    <w:p>
      <w:pPr>
        <w:pStyle w:val="FirstParagraph"/>
      </w:pPr>
      <w:r>
        <w:t xml:space="preserve">To validate our model, we recapitulated multivalent binding data from Csizmar et al. using our multivalent binding model (Fig. S1).</w:t>
      </w:r>
      <w:hyperlink w:anchor="ref-doi:10.1021/jacs.8b09198">
        <w:r>
          <w:rPr>
            <w:rStyle w:val="Hyperlink"/>
            <w:b/>
            <w:vertAlign w:val="superscript"/>
          </w:rPr>
          <w:t xml:space="preserve">doi:10.1021/jacs.8b09198?</w:t>
        </w:r>
      </w:hyperlink>
      <w:r>
        <w:t xml:space="preserve"> 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bookmarkEnd w:id="53"/>
    <w:bookmarkEnd w:id="54"/>
    <w:bookmarkStart w:id="56" w:name="supplementary-figures"/>
    <w:p>
      <w:pPr>
        <w:pStyle w:val="Heading2"/>
      </w:pPr>
      <w:r>
        <w:t xml:space="preserve">Supplementary Figures</w:t>
      </w:r>
    </w:p>
    <w:bookmarkStart w:id="0" w:name="fig:Csizmar"/>
    <w:p>
      <w:pPr>
        <w:pStyle w:val="CaptionedFigure"/>
      </w:pPr>
      <w:bookmarkStart w:id="55"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w:t>
      </w:r>
      <w:hyperlink w:anchor="ref-doi:10.1021/jacs.8b09198">
        <w:r>
          <w:rPr>
            <w:rStyle w:val="Hyperlink"/>
            <w:b/>
            <w:vertAlign w:val="superscript"/>
          </w:rPr>
          <w:t xml:space="preserve">doi:10.1021/jacs.8b09198?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5"/>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w:t>
      </w:r>
      <w:hyperlink w:anchor="ref-doi:10.1021/jacs.8b09198">
        <w:r>
          <w:rPr>
            <w:rStyle w:val="Hyperlink"/>
            <w:b/>
            <w:vertAlign w:val="superscript"/>
          </w:rPr>
          <w:t xml:space="preserve">doi:10.1021/jacs.8b09198?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bookmarkEnd w:id="56"/>
    <w:bookmarkStart w:id="57" w:name="acknowledgements"/>
    <w:p>
      <w:pPr>
        <w:pStyle w:val="Heading2"/>
      </w:pPr>
      <w:r>
        <w:t xml:space="preserve">Acknowledgements</w:t>
      </w:r>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bookmarkEnd w:id="57"/>
    <w:bookmarkStart w:id="58" w:name="author-contributions-statement"/>
    <w:p>
      <w:pPr>
        <w:pStyle w:val="Heading2"/>
      </w:pPr>
      <w:r>
        <w:t xml:space="preserve">Author contributions statement</w:t>
      </w:r>
    </w:p>
    <w:p>
      <w:pPr>
        <w:pStyle w:val="FirstParagraph"/>
      </w:pPr>
      <w:r>
        <w:t xml:space="preserve">A.S.M. concieved of the work. All authors implemented the analysis and wrote the paper.</w:t>
      </w:r>
    </w:p>
    <w:bookmarkEnd w:id="58"/>
    <w:bookmarkStart w:id="60" w:name="references"/>
    <w:p>
      <w:pPr>
        <w:pStyle w:val="Heading2"/>
      </w:pPr>
      <w:r>
        <w:t xml:space="preserve">References</w:t>
      </w:r>
    </w:p>
    <w:bookmarkStart w:id="59" w:name="refs"/>
    <w:bookmarkEnd w:id="59"/>
    <w:bookmarkEnd w:id="60"/>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github.com/aarmey" TargetMode="External" /><Relationship Type="http://schemas.openxmlformats.org/officeDocument/2006/relationships/hyperlink" Id="rId23" Target="https://github.com/borcuttjahns" TargetMode="External" /><Relationship Type="http://schemas.openxmlformats.org/officeDocument/2006/relationships/hyperlink" Id="rId21" Target="https://github.com/cyrillustan" TargetMode="External" /><Relationship Type="http://schemas.openxmlformats.org/officeDocument/2006/relationships/hyperlink" Id="rId47" Target="https://github.com/meyer-lab/cell-selective-ligands" TargetMode="External" /><Relationship Type="http://schemas.openxmlformats.org/officeDocument/2006/relationships/hyperlink" Id="rId22" Target="https://orcid.org/0000-0002-1436-1224" TargetMode="External" /><Relationship Type="http://schemas.openxmlformats.org/officeDocument/2006/relationships/hyperlink" Id="rId20" Target="https://orcid.org/0000-0002-5498-5509" TargetMode="External" /><Relationship Type="http://schemas.openxmlformats.org/officeDocument/2006/relationships/hyperlink" Id="rId24" Target="https://orcid.org/0000-0003-4513-1840" TargetMode="External" /><Relationship Type="http://schemas.openxmlformats.org/officeDocument/2006/relationships/hyperlink" Id="rId26"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25" Target="https://github.com/aarmey" TargetMode="External" /><Relationship Type="http://schemas.openxmlformats.org/officeDocument/2006/relationships/hyperlink" Id="rId23" Target="https://github.com/borcuttjahns" TargetMode="External" /><Relationship Type="http://schemas.openxmlformats.org/officeDocument/2006/relationships/hyperlink" Id="rId21" Target="https://github.com/cyrillustan" TargetMode="External" /><Relationship Type="http://schemas.openxmlformats.org/officeDocument/2006/relationships/hyperlink" Id="rId47" Target="https://github.com/meyer-lab/cell-selective-ligands" TargetMode="External" /><Relationship Type="http://schemas.openxmlformats.org/officeDocument/2006/relationships/hyperlink" Id="rId22" Target="https://orcid.org/0000-0002-1436-1224" TargetMode="External" /><Relationship Type="http://schemas.openxmlformats.org/officeDocument/2006/relationships/hyperlink" Id="rId20" Target="https://orcid.org/0000-0002-5498-5509" TargetMode="External" /><Relationship Type="http://schemas.openxmlformats.org/officeDocument/2006/relationships/hyperlink" Id="rId24" Target="https://orcid.org/0000-0003-4513-1840" TargetMode="External" /><Relationship Type="http://schemas.openxmlformats.org/officeDocument/2006/relationships/hyperlink" Id="rId26"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2020-11-25T04:35:36Z</dcterms:created>
  <dcterms:modified xsi:type="dcterms:W3CDTF">2020-11-25T04:35:36Z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2020-11-24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