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27,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It describes how easily a multivalent ligand bound to a cell monovalently can attain secondary binding.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drugs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much larger more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three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selection of target populations based on their lack of receptor expression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implementing this may be challenging.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strategies we explored are already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18</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both the current and potential abundance of each receptor must be considered.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30</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31</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2020-10-27T22:42:28Z</dcterms:created>
  <dcterms:modified xsi:type="dcterms:W3CDTF">2020-10-27T22:42:28Z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2020-10-27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