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November 30, 2020.</w:t>
      </w:r>
      <w:r>
        <w:t xml:space="preserve"> </w:t>
      </w:r>
    </w:p>
    <w:p>
      <w:pPr>
        <w:pStyle w:val="Heading2"/>
      </w:pPr>
      <w:bookmarkStart w:id="20" w:name="authors"/>
      <w:r>
        <w:t xml:space="preserve">Authors</w:t>
      </w:r>
      <w:bookmarkEnd w:id="20"/>
    </w:p>
    <w:p>
      <w:pPr>
        <w:numPr>
          <w:ilvl w:val="0"/>
          <w:numId w:val="1001"/>
        </w:numPr>
      </w:pPr>
      <w:r>
        <w:rPr>
          <w:b/>
        </w:rPr>
        <w:t xml:space="preserve">Zhixin Cyrillus Tan</w:t>
      </w:r>
      <w:r>
        <w:t xml:space="preserve"> </w:t>
      </w:r>
      <w:r>
        <w:t xml:space="preserve">ORCID</w:t>
      </w:r>
      <w:r>
        <w:t xml:space="preserve"> </w:t>
      </w:r>
      <w:hyperlink r:id="rId21">
        <w:r>
          <w:rPr>
            <w:rStyle w:val="Hyperlink"/>
          </w:rPr>
          <w:t xml:space="preserve">0000-0002-5498-5509</w:t>
        </w:r>
      </w:hyperlink>
      <w:r>
        <w:t xml:space="preserve"> </w:t>
      </w:r>
      <w:r>
        <w:t xml:space="preserve">· Github</w:t>
      </w:r>
      <w:r>
        <w:t xml:space="preserve"> </w:t>
      </w:r>
      <w:hyperlink r:id="rId22">
        <w:r>
          <w:rPr>
            <w:rStyle w:val="Hyperlink"/>
          </w:rPr>
          <w:t xml:space="preserve">cyrillustan</w:t>
        </w:r>
      </w:hyperlink>
      <w:r>
        <w:t xml:space="preserve"> </w:t>
      </w:r>
      <w:r>
        <w:t xml:space="preserve"> </w:t>
      </w:r>
      <w:r>
        <w:t xml:space="preserve">Bioinformatics Interdepartmental Program, University of California, Los Angeles; These authors contributed equally.</w:t>
      </w:r>
      <w:r>
        <w:t xml:space="preserve"> </w:t>
      </w:r>
    </w:p>
    <w:p>
      <w:pPr>
        <w:numPr>
          <w:ilvl w:val="0"/>
          <w:numId w:val="1001"/>
        </w:numPr>
      </w:pPr>
      <w:r>
        <w:rPr>
          <w:b/>
        </w:rPr>
        <w:t xml:space="preserve">Brian Orcutt-Jahns</w:t>
      </w:r>
      <w:r>
        <w:t xml:space="preserve"> </w:t>
      </w:r>
      <w:r>
        <w:t xml:space="preserve">ORCID</w:t>
      </w:r>
      <w:r>
        <w:t xml:space="preserve"> </w:t>
      </w:r>
      <w:hyperlink r:id="rId23">
        <w:r>
          <w:rPr>
            <w:rStyle w:val="Hyperlink"/>
          </w:rPr>
          <w:t xml:space="preserve">0000-0002-1436-1224</w:t>
        </w:r>
      </w:hyperlink>
      <w:r>
        <w:t xml:space="preserve"> </w:t>
      </w:r>
      <w:r>
        <w:t xml:space="preserve">· Github</w:t>
      </w:r>
      <w:r>
        <w:t xml:space="preserve"> </w:t>
      </w:r>
      <w:hyperlink r:id="rId24">
        <w:r>
          <w:rPr>
            <w:rStyle w:val="Hyperlink"/>
          </w:rPr>
          <w:t xml:space="preserve">borcuttjahns</w:t>
        </w:r>
      </w:hyperlink>
      <w:r>
        <w:t xml:space="preserve"> </w:t>
      </w:r>
      <w:r>
        <w:t xml:space="preserve"> </w:t>
      </w:r>
      <w:r>
        <w:t xml:space="preserve">Department of Bioengineering, University of California, Los Angeles; These authors contributed equally.</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these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ignificance-statement"/>
      <w:r>
        <w:t xml:space="preserve">Significance Statement</w:t>
      </w:r>
      <w:bookmarkEnd w:id="29"/>
    </w:p>
    <w:p>
      <w:pPr>
        <w:pStyle w:val="FirstParagraph"/>
      </w:pPr>
      <w:r>
        <w:t xml:space="preserve">Selective binding to specific target cells is a critical property of many therapies. To provide enhanced selectivity in specific situations, a series of new strategies have been proposed in the drug development literature, including affinity, valency, multi-valent compounds, and other alterations to target cell binding. We have developed a simple, multivalent ligand-receptor binding model that can help to direct therapeutic engineering. Here, using this model, we provide generalized and quantitative analyses of the effectiveness and limitations of each strategy. We also demonstrate that combining strategies can offer enhanced selectivity. This work will provide guidance for future therapeutic development.</w:t>
      </w:r>
    </w:p>
    <w:p>
      <w:pPr>
        <w:pStyle w:val="Heading2"/>
      </w:pPr>
      <w:bookmarkStart w:id="30" w:name="introduction"/>
      <w:r>
        <w:t xml:space="preserve">Introduction</w:t>
      </w:r>
      <w:bookmarkEnd w:id="30"/>
    </w:p>
    <w:p>
      <w:pPr>
        <w:pStyle w:val="FirstParagraph"/>
      </w:pPr>
      <w:r>
        <w:t xml:space="preserve">Many drugs both derive their therapeutic benefit and avoid toxicity through selective binding to specific cells within the body. Often, target cells can differ from off-target populations only subtly in surface receptor expression, making selective activation of target cells difficult to achieve. Even with a drug of very specific molecular binding, genetic and non-genetic heterogeneity can create a wide distribution of cell responses. This can result in reduced effectiveness and increased toxicity. Specific cell targeting is a universal challenge in protein-based therapies.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of target cells among heterogeneous cell populations. While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this heterogeneity impedes our effort of creating a highly specific drug. The intricacies of both inter-population receptor expression differences and intra-population receptor expression heterogeneity present significant challenges that limit the selectivity of therapies within the body.</w:t>
      </w:r>
    </w:p>
    <w:p>
      <w:pPr>
        <w:pStyle w:val="BodyText"/>
      </w:pPr>
      <w:r>
        <w:t xml:space="preserve">Further improving cell-specific targeting will require new strategies of engineering specificity. Non-cellular therapies such as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program complex logic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of ligand designs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approaches for engineering cell-specific binding using a multi-valent, multi-receptor, multi-ligand binding model. We show that strategies including affinity, valency, binding competition, ligand mixtures, and hetero-valent complexes provide distinct improvements in cell-specific targeting. Finally, we combine these strategies to target cells through combinatorial methods. In total, our results demonstrate that multi-valent ligands can offer offer effective cell specific targeting without the need to engineer complex cellular therapies, and that their design can be guided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arbitrary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arbitrary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a necessary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to optimize target cell binding while minimizing their binding to off-target cells is an area of ongoing research, and has inspired a myriad of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divided by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For the binding between monomer ligands and receptors, their affinity can be described by the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crosslinking constant,</w:t>
      </w:r>
      <w:r>
        <w:t xml:space="preserve"> </w:t>
      </w:r>
      <m:oMath>
        <m:sSubSup>
          <m:e>
            <m:r>
              <m:t>K</m:t>
            </m:r>
          </m:e>
          <m:sub>
            <m:r>
              <m:t>x</m:t>
            </m:r>
          </m:sub>
          <m:sup>
            <m:r>
              <m:t>*</m:t>
            </m:r>
          </m:sup>
        </m:sSubSup>
      </m:oMath>
      <w:r>
        <w:t xml:space="preserve">, which describes how easily a multivalent ligand bound to a cell monovalently can attain secondary binding.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t> </m:t>
        </m:r>
        <m:r>
          <m:rPr>
            <m:sty m:val="p"/>
          </m:rPr>
          <m:t>n</m:t>
        </m:r>
        <m:r>
          <m:rPr>
            <m:sty m:val="p"/>
          </m:rPr>
          <m:t>M</m:t>
        </m:r>
      </m:oMath>
      <w:r>
        <w:t xml:space="preserve">, and its dissociation constants to the two receptors to be</w:t>
      </w:r>
      <w:r>
        <w:t xml:space="preserve"> </w:t>
      </w:r>
      <m:oMath>
        <m:r>
          <m:t>10</m:t>
        </m:r>
        <m:r>
          <m:t> </m:t>
        </m:r>
        <m:r>
          <m:rPr>
            <m:sty m:val="p"/>
          </m:rPr>
          <m:t>μ</m:t>
        </m:r>
        <m:r>
          <m:rPr>
            <m:sty m:val="p"/>
          </m:rPr>
          <m:t>M</m:t>
        </m:r>
      </m:oMath>
      <w:r>
        <w:t xml:space="preserve"> </w:t>
      </w:r>
      <w:r>
        <w:t xml:space="preserve">and</w:t>
      </w:r>
      <w:r>
        <w:t xml:space="preserve"> </w:t>
      </w:r>
      <m:oMath>
        <m:r>
          <m:t>100</m:t>
        </m:r>
        <m:r>
          <m:t> </m:t>
        </m:r>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This situation might correspond to some cues inducing expression of a receptor, such as interferon-induced upregulation of MHC and regulatory T cell upregulation of IL-2R⍺.</w:t>
      </w:r>
      <w:hyperlink w:anchor="ref-11Hb1fNV6">
        <w:r>
          <w:rPr>
            <w:rStyle w:val="Hyperlink"/>
            <w:vertAlign w:val="superscript"/>
          </w:rPr>
          <w:t xml:space="preserve">15</w:t>
        </w:r>
      </w:hyperlink>
      <w:r>
        <w:t xml:space="preserve"> </w:t>
      </w:r>
      <w:r>
        <w:t xml:space="preserve">When the amount of receptor 1 (</w:t>
      </w:r>
      <m:oMath>
        <m:sSub>
          <m:e>
            <m:r>
              <m:t>R</m:t>
            </m:r>
          </m:e>
          <m:sub>
            <m:r>
              <m:t>1</m:t>
            </m:r>
          </m:sub>
        </m:sSub>
      </m:oMath>
      <w:r>
        <w:t xml:space="preserve">) 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binding varying more strongly with changes to</w:t>
      </w:r>
      <w:r>
        <w:t xml:space="preserve"> </w:t>
      </w:r>
      <m:oMath>
        <m:sSub>
          <m:e>
            <m:r>
              <m:t>R</m:t>
            </m:r>
          </m:e>
          <m:sub>
            <m:r>
              <m:t>2</m:t>
            </m:r>
          </m:sub>
        </m:sSub>
      </m:oMath>
      <w:r>
        <w:t xml:space="preserve"> </w:t>
      </w:r>
      <w:r>
        <w:t xml:space="preserve">expression than</w:t>
      </w:r>
      <w:r>
        <w:t xml:space="preserve"> </w:t>
      </w:r>
      <m:oMath>
        <m:sSub>
          <m:e>
            <m:r>
              <m:t>R</m:t>
            </m:r>
          </m:e>
          <m:sub>
            <m:r>
              <m:t>1</m:t>
            </m:r>
          </m:sub>
        </m:sSub>
      </m:oMath>
      <w:r>
        <w:t xml:space="preserve">.</w:t>
      </w:r>
    </w:p>
    <w:p>
      <w:pPr>
        <w:pStyle w:val="BodyText"/>
      </w:pPr>
      <w:r>
        <w:t xml:space="preserve">To analyze more general cases, we arbitrarily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The receptor expression profile within each cell population can also vary widely. To demonstrate cell-to-cell heterogeneity, we also defined intrapopulation variability of each population arbitrarily.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The intrapopulation variance will be accounted for using sigma point filters.</w:t>
      </w:r>
      <w:hyperlink w:anchor="ref-VKATSjfe">
        <w:r>
          <w:rPr>
            <w:rStyle w:val="Hyperlink"/>
            <w:vertAlign w:val="superscript"/>
          </w:rPr>
          <w:t xml:space="preserve">16</w:t>
        </w:r>
      </w:hyperlink>
      <w:r>
        <w:t xml:space="preserve"> </w:t>
      </w:r>
      <w:r>
        <w:t xml:space="preserve">We will use this binding model to examine how engineering a ligand using various strategies can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ligand binding affinity as an engineering strategy to enhance its cell population specificity. Here, we showed the binding pattern of monovalent ligands with various affinities ranging from</w:t>
      </w:r>
      <w:r>
        <w:t xml:space="preserve"> </w:t>
      </w:r>
      <m:oMath>
        <m:r>
          <m:t>10</m:t>
        </m:r>
        <m:r>
          <m:t> </m:t>
        </m:r>
        <m:r>
          <m:rPr>
            <m:sty m:val="p"/>
          </m:rPr>
          <m:t>μ</m:t>
        </m:r>
        <m:r>
          <m:rPr>
            <m:sty m:val="p"/>
          </m:rPr>
          <m:t>M</m:t>
        </m:r>
      </m:oMath>
      <w:r>
        <w:t xml:space="preserve"> </w:t>
      </w:r>
      <w:r>
        <w:t xml:space="preserve">to</w:t>
      </w:r>
      <w:r>
        <w:t xml:space="preserve"> </w:t>
      </w:r>
      <m:oMath>
        <m:r>
          <m:t>100</m:t>
        </m:r>
        <m:r>
          <m:t> </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We found that when a target cell population expresses a receptor not expressed by off-target cell populations, enhancing the affinity of the drug to this receptor is a clear and effective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differ only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by the relative discrepancy in receptor abundances (Fig.</w:t>
      </w:r>
      <w:r>
        <w:t xml:space="preserve"> </w:t>
      </w:r>
      <w:hyperlink w:anchor="fig:affinity">
        <w:r>
          <w:rPr>
            <w:rStyle w:val="Hyperlink"/>
          </w:rPr>
          <w:t xml:space="preserve">2</w:t>
        </w:r>
      </w:hyperlink>
      <w:r>
        <w:t xml:space="preserve">c,d). Since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fails to modulate binding selectivity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as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Our previous work has shown that this binding model can accurately predict the multivalent binding between IgG antibodies and Fcγ receptors.</w:t>
      </w:r>
      <w:hyperlink w:anchor="ref-11gk5tUo7">
        <w:r>
          <w:rPr>
            <w:rStyle w:val="Hyperlink"/>
            <w:vertAlign w:val="superscript"/>
          </w:rPr>
          <w:t xml:space="preserve">17</w:t>
        </w:r>
      </w:hyperlink>
      <w:r>
        <w:t xml:space="preserve"> </w:t>
      </w:r>
      <w:r>
        <w:t xml:space="preserve">To further demonstrate our model’s capacity to predict multivalent binding activity, we fit our model to a set of published experimental measurements wherein fluorescently labeled nanorings were assembled with specific numbers of binding units.</w:t>
      </w:r>
      <w:hyperlink w:anchor="ref-u2Cb0DBq">
        <w:r>
          <w:rPr>
            <w:rStyle w:val="Hyperlink"/>
            <w:vertAlign w:val="superscript"/>
          </w:rPr>
          <w:t xml:space="preserve">18</w:t>
        </w:r>
      </w:hyperlink>
      <w:r>
        <w:t xml:space="preserve"> </w:t>
      </w:r>
      <w:r>
        <w:t xml:space="preserve">After fitting to determine the crosslinking coefficient of multivalent nanorings (</w:t>
      </w:r>
      <m:oMath>
        <m:sSubSup>
          <m:e>
            <m:r>
              <m:t>K</m:t>
            </m:r>
          </m:e>
          <m:sub>
            <m:r>
              <m:t>x</m:t>
            </m:r>
          </m:sub>
          <m:sup>
            <m:r>
              <m:t>*</m:t>
            </m:r>
          </m:sup>
        </m:sSubSup>
      </m:oMath>
      <w:r>
        <w:t xml:space="preserve">) and receptor affinity values (</w:t>
      </w:r>
      <m:oMath>
        <m:sSub>
          <m:e>
            <m:r>
              <m:t>K</m:t>
            </m:r>
          </m:e>
          <m:sub>
            <m:r>
              <m:t>a</m:t>
            </m:r>
          </m:sub>
        </m:sSub>
      </m:oMath>
      <w:r>
        <w:t xml:space="preserve">), our model was able to accurately match the binding of nanorings with four or eight subunits to cells expressing a known abundance of receptor partners (Fig. S1a).</w:t>
      </w:r>
    </w:p>
    <w:p>
      <w:pPr>
        <w:pStyle w:val="BodyText"/>
      </w:pPr>
      <w:r>
        <w:t xml:space="preserve">Multivalent ligand binding differs from monovalent binding in its nonlinear relationship with receptor density, allowing multivalent ligands to potentially selectively target cells based on receptor abundance.</w:t>
      </w:r>
      <w:hyperlink w:anchor="ref-IanZRiFA">
        <w:r>
          <w:rPr>
            <w:rStyle w:val="Hyperlink"/>
            <w:vertAlign w:val="superscript"/>
          </w:rPr>
          <w:t xml:space="preserve">19</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not receptor</w:t>
      </w:r>
      <w:r>
        <w:t xml:space="preserve"> </w:t>
      </w:r>
      <m:oMath>
        <m:sSub>
          <m:e>
            <m:r>
              <m:t>R</m:t>
            </m:r>
          </m:e>
          <m:sub>
            <m:r>
              <m:t>2</m:t>
            </m:r>
          </m:sub>
        </m:sSub>
      </m:oMath>
      <w:r>
        <w:t xml:space="preserve">, and the valency of the ligand is varied across subplots.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when considering multivalent binding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many previous studies have suggested, multi-valent ligands can demonstrate particular selectivity to target populations with high receptor abundances when their subunits have low affinity to the receptors.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18</w:t>
        </w:r>
      </w:hyperlink>
      <w:r>
        <w:t xml:space="preserve"> </w:t>
      </w:r>
      <w:r>
        <w:t xml:space="preserve">Comparing binding between cell populations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and the shaded areas indicate the variance caused by intrapopulation heterogeneity, determined by sigma point filters.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For any specific multivalent ligand at equilibrium, it may bind to any number of receptors up to its valency, which we will refer to as its binding degree. Our model allowed us to identify the mechanism of valency-mediated receptor abundance selectivity by examining the distribution of ligands bound at each degree to different cells for octavalent ligands (valency = 8). A cell expressing</w:t>
      </w:r>
      <w:r>
        <w:t xml:space="preserve"> </w:t>
      </w:r>
      <m:oMath>
        <m:sSup>
          <m:e>
            <m:r>
              <m:t>10</m:t>
            </m:r>
          </m:e>
          <m:sup>
            <m:r>
              <m:t>4</m:t>
            </m:r>
          </m:sup>
        </m:sSup>
      </m:oMath>
      <w:r>
        <w:t xml:space="preserve"> </w:t>
      </w:r>
      <w:r>
        <w:t xml:space="preserve">receptors displays similar amounts of binding at each degree for ligands with dissociation constants of</w:t>
      </w:r>
      <w:r>
        <w:t xml:space="preserve"> </w:t>
      </w:r>
      <m:oMath>
        <m:r>
          <m:t>1000</m:t>
        </m:r>
      </m:oMath>
      <w:r>
        <w:t xml:space="preserve">,</w:t>
      </w:r>
      <w:r>
        <w:t xml:space="preserve"> </w:t>
      </w:r>
      <m:oMath>
        <m:r>
          <m:t>100</m:t>
        </m:r>
      </m:oMath>
      <w:r>
        <w:t xml:space="preserve">, and</w:t>
      </w:r>
      <w:r>
        <w:t xml:space="preserve"> </w:t>
      </w:r>
      <m:oMath>
        <m:r>
          <m:t>10</m:t>
        </m:r>
        <m:r>
          <m:t> </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higher-degree binding for ligand complexes of low binding affinity (Fig.</w:t>
      </w:r>
      <w:r>
        <w:t xml:space="preserve"> </w:t>
      </w:r>
      <w:hyperlink w:anchor="fig:valency">
        <w:r>
          <w:rPr>
            <w:rStyle w:val="Hyperlink"/>
          </w:rPr>
          <w:t xml:space="preserve">3</w:t>
        </w:r>
      </w:hyperlink>
      <w:r>
        <w:t xml:space="preserve">f). This effect arises due to the ligand’s rate of dissociation being larger than its multivalent binding association rate at low receptor abundances (Fig.</w:t>
      </w:r>
      <w:r>
        <w:t xml:space="preserve"> </w:t>
      </w:r>
      <w:hyperlink w:anchor="fig:valency">
        <w:r>
          <w:rPr>
            <w:rStyle w:val="Hyperlink"/>
          </w:rPr>
          <w:t xml:space="preserve">3</w:t>
        </w:r>
      </w:hyperlink>
      <w:r>
        <w:t xml:space="preserve">g). Multivalent ligands undergo initial binding events at rates unaffected by steric effects and changes in local concentration, but low affinity and receptor density severely limit the possibility of secondary binding events. In contrast, cells with a higher abundance of receptors accumulate ligand bound by having them bind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t> </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The shaded areas indicate the variance of binding ratios caused by the intrapopulation heterogeneity and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t> </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t> </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The shaded areas indicate the variance of binding ratios caused by the intrapopulation heterogeneity and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t> </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20</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21</w:t>
        </w:r>
      </w:hyperlink>
      <w:r>
        <w:t xml:space="preserve"> </w:t>
      </w:r>
      <w:r>
        <w:t xml:space="preserve">Therefore, it is important to understand how mixtures of complexes influence overall response.</w:t>
      </w:r>
    </w:p>
    <w:p>
      <w:pPr>
        <w:pStyle w:val="BodyText"/>
      </w:pPr>
      <w:r>
        <w:t xml:space="preserve">To evaluate the contribution of mixtures, we evaluated model-predicted binding while varying the composition between two distinct monovalent ligands, each exhibiting preferential binding to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17</w:t>
        </w:r>
      </w:hyperlink>
      <w:r>
        <w:rPr>
          <w:vertAlign w:val="superscript"/>
        </w:rPr>
        <w:t xml:space="preserve">,</w:t>
      </w:r>
      <w:hyperlink w:anchor="ref-8lU1hNlA">
        <w:r>
          <w:rPr>
            <w:rStyle w:val="Hyperlink"/>
            <w:vertAlign w:val="superscript"/>
          </w:rPr>
          <w:t xml:space="preserve">22</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t> </m:t>
        </m:r>
        <m:r>
          <m:rPr>
            <m:sty m:val="p"/>
          </m:rPr>
          <m:t>μ</m:t>
        </m:r>
        <m:r>
          <m:rPr>
            <m:sty m:val="p"/>
          </m:rPr>
          <m:t>M</m:t>
        </m:r>
      </m:oMath>
      <w:r>
        <w:t xml:space="preserve"> </w:t>
      </w:r>
      <w:r>
        <w:t xml:space="preserve">and</w:t>
      </w:r>
      <w:r>
        <w:t xml:space="preserve"> </w:t>
      </w:r>
      <m:oMath>
        <m:r>
          <m:t>10</m:t>
        </m:r>
        <m:r>
          <m:t> </m:t>
        </m:r>
        <m:r>
          <m:rPr>
            <m:sty m:val="p"/>
          </m:rPr>
          <m:t>μ</m:t>
        </m:r>
        <m:r>
          <m:rPr>
            <m:sty m:val="p"/>
          </m:rPr>
          <m:t>M</m:t>
        </m:r>
      </m:oMath>
      <w:r>
        <w:t xml:space="preserve"> </w:t>
      </w:r>
      <w:r>
        <w:t xml:space="preserve">respectively, and ligand 2 binding to receptors 1 and 2 with dissociation constants of</w:t>
      </w:r>
      <w:r>
        <w:t xml:space="preserve"> </w:t>
      </w:r>
      <m:oMath>
        <m:r>
          <m:t>10</m:t>
        </m:r>
        <m:r>
          <m:t> </m:t>
        </m:r>
        <m:r>
          <m:rPr>
            <m:sty m:val="p"/>
          </m:rPr>
          <m:t>μ</m:t>
        </m:r>
        <m:r>
          <m:rPr>
            <m:sty m:val="p"/>
          </m:rPr>
          <m:t>M</m:t>
        </m:r>
      </m:oMath>
      <w:r>
        <w:t xml:space="preserve"> </w:t>
      </w:r>
      <w:r>
        <w:t xml:space="preserve">and</w:t>
      </w:r>
      <w:r>
        <w:t xml:space="preserve"> </w:t>
      </w:r>
      <m:oMath>
        <m:r>
          <m:t>1</m:t>
        </m:r>
        <m:r>
          <m:t> </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b,c) Ratio of ligand bound to cell populations exposed to monovalent mixtures of ligand 1 and 2. The ratio of the target population to the single off target population with the greatest ligand bound is plotted. The shaded areas indicate the variance caused by intrapopulation heterogeneity,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t> </m:t>
        </m:r>
        <m:r>
          <m:rPr>
            <m:sty m:val="p"/>
          </m:rPr>
          <m:t>μ</m:t>
        </m:r>
        <m:r>
          <m:rPr>
            <m:sty m:val="p"/>
          </m:rPr>
          <m:t>M</m:t>
        </m:r>
      </m:oMath>
      <w:r>
        <w:t xml:space="preserve"> </w:t>
      </w:r>
      <w:r>
        <w:t xml:space="preserve">and</w:t>
      </w:r>
      <w:r>
        <w:t xml:space="preserve"> </w:t>
      </w:r>
      <m:oMath>
        <m:r>
          <m:t>10</m:t>
        </m:r>
        <m:r>
          <m:t> </m:t>
        </m:r>
        <m:r>
          <m:rPr>
            <m:sty m:val="p"/>
          </m:rPr>
          <m:t>μ</m:t>
        </m:r>
        <m:r>
          <m:rPr>
            <m:sty m:val="p"/>
          </m:rPr>
          <m:t>M</m:t>
        </m:r>
      </m:oMath>
      <w:r>
        <w:t xml:space="preserve"> </w:t>
      </w:r>
      <w:r>
        <w:t xml:space="preserve">respectively, and ligand 2 binding to receptors 1 and 2 with dissociation constants of</w:t>
      </w:r>
      <w:r>
        <w:t xml:space="preserve"> </w:t>
      </w:r>
      <m:oMath>
        <m:r>
          <m:t>10</m:t>
        </m:r>
        <m:r>
          <m:t> </m:t>
        </m:r>
        <m:r>
          <m:rPr>
            <m:sty m:val="p"/>
          </m:rPr>
          <m:t>μ</m:t>
        </m:r>
        <m:r>
          <m:rPr>
            <m:sty m:val="p"/>
          </m:rPr>
          <m:t>M</m:t>
        </m:r>
      </m:oMath>
      <w:r>
        <w:t xml:space="preserve"> </w:t>
      </w:r>
      <w:r>
        <w:t xml:space="preserve">and</w:t>
      </w:r>
      <w:r>
        <w:t xml:space="preserve"> </w:t>
      </w:r>
      <m:oMath>
        <m:r>
          <m:t>1</m:t>
        </m:r>
        <m:r>
          <m:t> </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b,c) Ratio of ligand bound to cell populations exposed to monovalent mixtures of ligand 1 and 2. The ratio of the target population to the single off target population with the greatest ligand bound is plotted. The shaded areas indicate the variance caused by intrapopulation heterogeneity,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23</w:t>
        </w:r>
      </w:hyperlink>
      <w:r>
        <w:t xml:space="preserve"> </w:t>
      </w:r>
      <w:r>
        <w:t xml:space="preserve">However, the number of possible configurations of multispecific drugs is combinatorially large and impossible to enumerate. Here, we use heterovalent bispecific ligands as examples to explore the unique benefit of multispecificity distinct from any strategy analyzed before. Here, we compare bispecificity with a 50%-50% mixture of two monovalent ligands, and a 50%-50% mixture of two different homogeneous bivalent ligands (Fig.</w:t>
      </w:r>
      <w:r>
        <w:t xml:space="preserve"> </w:t>
      </w:r>
      <w:hyperlink w:anchor="fig:bispecific">
        <w:r>
          <w:rPr>
            <w:rStyle w:val="Hyperlink"/>
          </w:rPr>
          <w:t xml:space="preserve">5</w:t>
        </w:r>
      </w:hyperlink>
      <w:r>
        <w:t xml:space="preserve">i).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advantages afforded by heterovalent ligands.</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w:t>
      </w:r>
      <w:hyperlink w:anchor="ref-18yoQOgm4">
        <w:r>
          <w:rPr>
            <w:rStyle w:val="Hyperlink"/>
            <w:vertAlign w:val="superscript"/>
          </w:rPr>
          <w:t xml:space="preserve">24</w:t>
        </w:r>
      </w:hyperlink>
      <w:r>
        <w:rPr>
          <w:vertAlign w:val="superscript"/>
        </w:rPr>
        <w:t xml:space="preserve">,</w:t>
      </w:r>
      <w:hyperlink w:anchor="ref-y7JtEfom">
        <w:r>
          <w:rPr>
            <w:rStyle w:val="Hyperlink"/>
            <w:vertAlign w:val="superscript"/>
          </w:rPr>
          <w:t xml:space="preserve">25</w:t>
        </w:r>
      </w:hyperlink>
      <w:r>
        <w:t xml:space="preserve"> </w:t>
      </w:r>
      <w:r>
        <w:t xml:space="preserve">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 We investigated whether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(Fig.</w:t>
      </w:r>
      <w:r>
        <w:t xml:space="preserve"> </w:t>
      </w:r>
      <w:hyperlink w:anchor="fig:bispecific">
        <w:r>
          <w:rPr>
            <w:rStyle w:val="Hyperlink"/>
          </w:rPr>
          <w:t xml:space="preserve">5</w:t>
        </w:r>
      </w:hyperlink>
      <w:r>
        <w:t xml:space="preserve">i). For the heterovalent bispecific case, ligand fully bound will only account for the amount of ligand with both of their ligand monomers bound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e). The contour plot of fully bound bispecific ligands has more convex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e). This convexity of contour lines indicates that for bispecific complexes, double-positive cells bind more ligands fully than cells only strongly expressing one type of receptors.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is dependent on the ligand’s propensity for crosslinking captured by the constant</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i). Typically in biochemistry, when there is less steric hindrance among the subunits of a multivalent drug molecule (e.g. longer tether and smaller subunit size), or when there is local receptor clustering on the target cell, secondary binding will be easier to achieve, corresponding to larger</w:t>
      </w:r>
      <w:r>
        <w:t xml:space="preserve"> </w:t>
      </w:r>
      <m:oMath>
        <m:sSubSup>
          <m:e>
            <m:r>
              <m:t>K</m:t>
            </m:r>
          </m:e>
          <m:sub>
            <m:r>
              <m:t>x</m:t>
            </m:r>
          </m:sub>
          <m:sup>
            <m:r>
              <m:t>*</m:t>
            </m:r>
          </m:sup>
        </m:sSubSup>
      </m:oMath>
      <w:r>
        <w:t xml:space="preserve">.</w:t>
      </w:r>
      <w:hyperlink w:anchor="ref-uVvF8Fgs">
        <w:r>
          <w:rPr>
            <w:rStyle w:val="Hyperlink"/>
            <w:vertAlign w:val="superscript"/>
          </w:rPr>
          <w:t xml:space="preserve">26</w:t>
        </w:r>
      </w:hyperlink>
      <w:r>
        <w:t xml:space="preserve"> </w:t>
      </w:r>
      <w:r>
        <w:t xml:space="preserve">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hyperlink w:anchor="fig:bispecific">
        <w:r>
          <w:rPr>
            <w:rStyle w:val="Hyperlink"/>
          </w:rPr>
          <w:t xml:space="preserve">5</w:t>
        </w:r>
      </w:hyperlink>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compared the selectivities between some chosen target-to-off-target cell population pairs under bispecific drug versus another drug given a range of</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g,h). These plotted numbers are the selectivities imparted by a bispecific drug divided by the selectivities from a drug mixture of either monovalent (Fig.</w:t>
      </w:r>
      <w:r>
        <w:t xml:space="preserve"> </w:t>
      </w:r>
      <w:hyperlink w:anchor="fig:bispecific">
        <w:r>
          <w:rPr>
            <w:rStyle w:val="Hyperlink"/>
          </w:rPr>
          <w:t xml:space="preserve">5</w:t>
        </w:r>
      </w:hyperlink>
      <w:r>
        <w:t xml:space="preserve">g) or homogeneous bivalent (Fig.</w:t>
      </w:r>
      <w:r>
        <w:t xml:space="preserve"> </w:t>
      </w:r>
      <w:hyperlink w:anchor="fig:bispecific">
        <w:r>
          <w:rPr>
            <w:rStyle w:val="Hyperlink"/>
          </w:rPr>
          <w:t xml:space="preserve">5</w:t>
        </w:r>
      </w:hyperlink>
      <w:r>
        <w:t xml:space="preserve">h). When these quotients are larger, it implies that fully bound bispecific ligand has greater advantages than its counterpart to impart selective binding for the chosen target cell populations. Figure</w:t>
      </w:r>
      <w:r>
        <w:t xml:space="preserve"> </w:t>
      </w:r>
      <w:hyperlink w:anchor="fig:bispecific">
        <w:r>
          <w:rPr>
            <w:rStyle w:val="Hyperlink"/>
          </w:rPr>
          <w:t xml:space="preserve">5</w:t>
        </w:r>
      </w:hyperlink>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we only account for fully bound ligand for both therapeutics, the effect demonstrated in Figure</w:t>
      </w:r>
      <w:r>
        <w:t xml:space="preserve"> </w:t>
      </w:r>
      <w:hyperlink w:anchor="fig:bispecific">
        <w:r>
          <w:rPr>
            <w:rStyle w:val="Hyperlink"/>
          </w:rPr>
          <w:t xml:space="preserve">5</w:t>
        </w:r>
      </w:hyperlink>
      <w:r>
        <w:t xml:space="preserve">g no longer holds. Together, we showed that bispecific ligands only exhibit unique advantages in inducing selective binding when they are only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 i) Cartoons of bispecific ligands and ligand fully bound binding model.</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 i) Cartoons of bispecific ligands and ligand fully bound binding model.</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described above provided selectivity benefits in distinct situations, suggesting that they might synergistically improve selectivity when combined. We explored this potential synergy using optimization to determine the ligand specifications which provided optimal selectivity for our theoretical cell populations. More specifically, we optimized the selectivity of a ligand for a particular population, while considering all other populations to be off-target. Our optimization allowed ligand characteristics to vary within biologically plausible bounds; which characteristics we allowed to vary defined our examination of the efficacy of our various ligand engineering strategies. We examined optimizing affinity alone, mixture along with affinity, and valency along with affinity, and finally combined all three strategies (Fig.</w:t>
      </w:r>
      <w:r>
        <w:t xml:space="preserve"> </w:t>
      </w:r>
      <w:hyperlink w:anchor="fig:combination">
        <w:r>
          <w:rPr>
            <w:rStyle w:val="Hyperlink"/>
          </w:rPr>
          <w:t xml:space="preserve">6</w:t>
        </w:r>
      </w:hyperlink>
      <w:r>
        <w:t xml:space="preserve">).</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affinity imparts greater specificity, and optimal selectivity is achieved by combining affinity and valency modulations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engineering is unable to impart some small contributions to enhanced selectivity, significant improvement is only achieved when utilizing valency modulation techniques.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any modulation of affinity, valency or combining it with mixture-based strategies seems ineffective. It should be noted that in all described cases, engineering the composition of a mixture of ligands is generaly ineffective for imparting selectivity when the ligand’s design specifications are flexible, and is likely only efficacious when using ligands with static properties and considering multiple off-target populations.</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25</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(ligand bound on target population divided by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Xo ligands are monovalent ligands with affinities of</w:t>
      </w:r>
      <w:r>
        <w:t xml:space="preserve"> </w:t>
      </w:r>
      <m:oMath>
        <m:r>
          <m:t>1</m:t>
        </m:r>
        <m:r>
          <m:t> </m:t>
        </m:r>
        <m:r>
          <m:rPr>
            <m:sty m:val="p"/>
          </m:rPr>
          <m:t>μ</m:t>
        </m:r>
        <m:r>
          <m:rPr>
            <m:sty m:val="p"/>
          </m:rPr>
          <m:t>M</m:t>
        </m:r>
      </m:oMath>
      <w:r>
        <w:t xml:space="preserve"> </w:t>
      </w:r>
      <w:r>
        <w:t xml:space="preserve">for both receptor 1 and 2. The dissociation constant was allowed to vary between</w:t>
      </w:r>
      <w:r>
        <w:t xml:space="preserve"> </w:t>
      </w:r>
      <m:oMath>
        <m:r>
          <m:t>10</m:t>
        </m:r>
        <m:r>
          <m:t> </m:t>
        </m:r>
        <m:r>
          <m:rPr>
            <m:sty m:val="p"/>
          </m:rPr>
          <m:t>m</m:t>
        </m:r>
        <m:r>
          <m:rPr>
            <m:sty m:val="p"/>
          </m:rPr>
          <m:t>M</m:t>
        </m:r>
      </m:oMath>
      <w:r>
        <w:t xml:space="preserve"> </w:t>
      </w:r>
      <w:r>
        <w:t xml:space="preserve">and</w:t>
      </w:r>
      <w:r>
        <w:t xml:space="preserve"> </w:t>
      </w:r>
      <m:oMath>
        <m:r>
          <m:t>0.1</m:t>
        </m:r>
        <m:r>
          <m:t> </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(ligand bound on target population divided by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Xo ligands are monovalent ligands with affinities of</w:t>
      </w:r>
      <w:r>
        <w:t xml:space="preserve"> </w:t>
      </w:r>
      <m:oMath>
        <m:r>
          <m:t>1</m:t>
        </m:r>
        <m:r>
          <m:t> </m:t>
        </m:r>
        <m:r>
          <m:rPr>
            <m:sty m:val="p"/>
          </m:rPr>
          <m:t>μ</m:t>
        </m:r>
        <m:r>
          <m:rPr>
            <m:sty m:val="p"/>
          </m:rPr>
          <m:t>M</m:t>
        </m:r>
      </m:oMath>
      <w:r>
        <w:t xml:space="preserve"> </w:t>
      </w:r>
      <w:r>
        <w:t xml:space="preserve">for both receptor 1 and 2. The dissociation constant was allowed to vary between</w:t>
      </w:r>
      <w:r>
        <w:t xml:space="preserve"> </w:t>
      </w:r>
      <m:oMath>
        <m:r>
          <m:t>10</m:t>
        </m:r>
        <m:r>
          <m:t> </m:t>
        </m:r>
        <m:r>
          <m:rPr>
            <m:sty m:val="p"/>
          </m:rPr>
          <m:t>m</m:t>
        </m:r>
        <m:r>
          <m:rPr>
            <m:sty m:val="p"/>
          </m:rPr>
          <m:t>M</m:t>
        </m:r>
      </m:oMath>
      <w:r>
        <w:t xml:space="preserve"> </w:t>
      </w:r>
      <w:r>
        <w:t xml:space="preserve">and</w:t>
      </w:r>
      <w:r>
        <w:t xml:space="preserve"> </w:t>
      </w:r>
      <m:oMath>
        <m:r>
          <m:t>0.1</m:t>
        </m:r>
        <m:r>
          <m:t> </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Here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w:t>
      </w:r>
      <w:r>
        <w:t xml:space="preserve"> </w:t>
      </w:r>
      <w:hyperlink w:anchor="fig:valency">
        <w:r>
          <w:rPr>
            <w:rStyle w:val="Hyperlink"/>
          </w:rPr>
          <w:t xml:space="preserve">3</w:t>
        </w:r>
      </w:hyperlink>
      <w:r>
        <w:t xml:space="preserve">e).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Only amount of agonist bound is considered in determination of optimal selectivity. b-d) Heatmap of agonist (b), and antagonist (c) ligand bound for antagonist and agonist ligand combination shown to impart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Only amount of agonist bound is considered in determination of optimal selectivity. b-d) Heatmap of agonist (b), and antagonist (c) ligand bound for antagonist and agonist ligand combination shown to impart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and used it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antagonist competition, and these in combination.</w:t>
      </w:r>
    </w:p>
    <w:p>
      <w:pPr>
        <w:pStyle w:val="BodyText"/>
      </w:pPr>
      <w:r>
        <w:t xml:space="preserve">Each strategy’s contribution can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Binding selectivity was enhanced by increasing the affinity of the ligand for those receptors that are more abundantly expressed on the target cells and decreasing its affinity for those that are not. Selectivity depended upon large differences in receptor expression levels between on- and off-target populations. When target and off-target populations expressed the same pattern of receptors and only differed in receptor abundances, modulations in valency, but not affinity, were effective (Fig.</w:t>
      </w:r>
      <w:r>
        <w:t xml:space="preserve"> </w:t>
      </w:r>
      <w:hyperlink w:anchor="fig:valency">
        <w:r>
          <w:rPr>
            <w:rStyle w:val="Hyperlink"/>
          </w:rPr>
          <w:t xml:space="preserve">3</w:t>
        </w:r>
      </w:hyperlink>
      <w:r>
        <w:t xml:space="preserve">). A key determinant of valency’s effectiveness was the secondary binding and unbinding rate which is dependent on both the kinetics of the receptor-ligand interaction and receptor abundance. Ligand mixtures were mostly ineffective for imparting binding selectivity, and only had modest benefits when considering two or more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solely considering fully bound ligand (Fig.</w:t>
      </w:r>
      <w:r>
        <w:t xml:space="preserve"> </w:t>
      </w:r>
      <w:hyperlink w:anchor="fig:bispecific">
        <w:r>
          <w:rPr>
            <w:rStyle w:val="Hyperlink"/>
          </w:rPr>
          <w:t xml:space="preserve">5</w:t>
        </w:r>
      </w:hyperlink>
      <w:r>
        <w:t xml:space="preserve">). These ligands exhibit preferential binding to target populations that have high expression of both receptors over those with high expression of only a single receptor, with the propensity for secondary binding acting as a key determinant for selectivity.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 for the unique selection of target populations expressing relatively fewer receptors than off-target populations (Fig.</w:t>
      </w:r>
      <w:r>
        <w:t xml:space="preserve"> </w:t>
      </w:r>
      <w:hyperlink w:anchor="fig:deadLig">
        <w:r>
          <w:rPr>
            <w:rStyle w:val="Hyperlink"/>
          </w:rPr>
          <w:t xml:space="preserve">7</w:t>
        </w:r>
      </w:hyperlink>
      <w:r>
        <w:t xml:space="preserve">).</w:t>
      </w:r>
    </w:p>
    <w:p>
      <w:pPr>
        <w:pStyle w:val="BodyText"/>
      </w:pPr>
      <w:r>
        <w:t xml:space="preserve">While our multivalent binding model identified strategies for selective targeting in many cases, it also identified situations for which selective binding is challenging. For example, selectively targeting populations based on their absence of receptor expression remains challenging. While we computationally show the potential of using multivalent antagonists with monovalent agonists to selectively target such populations, implementing this may be challenging in practice. In cases where a target population expresses fewer receptors of any kind than an off-target population, our analysis suggests that targeting other receptors should be considered. However, in cases where target populations express more of any type of receptor than an off-target population, we show that one or more of our formulated ligand engineering strategies can be employed to improve binding selectivity. While we expect the same patterns to apply with greater than two receptors, certain emergent behaviors may exist with tri-specific and more complex ligand binding.</w:t>
      </w:r>
    </w:p>
    <w:p>
      <w:pPr>
        <w:pStyle w:val="BodyText"/>
      </w:pPr>
      <w:r>
        <w:t xml:space="preserve">A few of the strategies that we explored have been utilized in existing engineered therapies. For example, affinity changes to the cytokine IL-2 have been used to bias its effects towards either effector or regulatory immune populations.</w:t>
      </w:r>
      <w:hyperlink w:anchor="ref-FqWAsZ7z">
        <w:r>
          <w:rPr>
            <w:rStyle w:val="Hyperlink"/>
            <w:vertAlign w:val="superscript"/>
          </w:rPr>
          <w:t xml:space="preserve">27</w:t>
        </w:r>
      </w:hyperlink>
      <w:r>
        <w:rPr>
          <w:vertAlign w:val="superscript"/>
        </w:rPr>
        <w:t xml:space="preserve">,</w:t>
      </w:r>
      <w:hyperlink w:anchor="ref-L2k7ECfb">
        <w:r>
          <w:rPr>
            <w:rStyle w:val="Hyperlink"/>
            <w:vertAlign w:val="superscript"/>
          </w:rPr>
          <w:t xml:space="preserve">28</w:t>
        </w:r>
      </w:hyperlink>
      <w:r>
        <w:t xml:space="preserve"> </w:t>
      </w:r>
      <w:r>
        <w:t xml:space="preserve">Varying the valency of tumor-targeted antibodies leads to selective cell clearance based upon the levels of expressed antigen.</w:t>
      </w:r>
      <w:hyperlink w:anchor="ref-IanZRiFA">
        <w:r>
          <w:rPr>
            <w:rStyle w:val="Hyperlink"/>
            <w:vertAlign w:val="superscript"/>
          </w:rPr>
          <w:t xml:space="preserve">19</w:t>
        </w:r>
      </w:hyperlink>
      <w:r>
        <w:t xml:space="preserve"> </w:t>
      </w:r>
      <w:r>
        <w:t xml:space="preserve">Manipulating of the affinities of the fibronectin domains on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18</w:t>
        </w:r>
      </w:hyperlink>
      <w:r>
        <w:t xml:space="preserve"> </w:t>
      </w:r>
      <w:r>
        <w:t xml:space="preserve">The tendency of low-affinity, multivalent interactions to target cells expressing high receptor abundances was also described in a study describing the selectivity of multivalent antibody binding to tumor cells bound by a bispecific therapeutic ligand.</w:t>
      </w:r>
      <w:hyperlink w:anchor="ref-B0xrCfE3">
        <w:r>
          <w:rPr>
            <w:rStyle w:val="Hyperlink"/>
            <w:vertAlign w:val="superscript"/>
          </w:rPr>
          <w:t xml:space="preserve">13</w:t>
        </w:r>
      </w:hyperlink>
      <w:r>
        <w:t xml:space="preserve"> </w:t>
      </w:r>
      <w:r>
        <w:t xml:space="preserve">These examples lend support to the accuracy and translational value of our model. At the same time, recognizing these previously described ligand engineering approaches as separable strategies provides clearer guidance for future engineering.</w:t>
      </w:r>
    </w:p>
    <w:p>
      <w:pPr>
        <w:pStyle w:val="BodyText"/>
      </w:pPr>
      <w:r>
        <w:t xml:space="preserve">Some of the optimization strategies described here have not been exploited in part due to the complexity of real biological applications. First, some strategies may not be biochemically practical. For example, the manipulating ligand affinity requires intricate protein engineering. Potential dynamic changes in the receptor expression profile of a target population also complicate the matter. It is well documented that cancer cells can escape therapeutic targeting by upregulating</w:t>
      </w:r>
      <w:hyperlink w:anchor="ref-3WVNxYBN">
        <w:r>
          <w:rPr>
            <w:rStyle w:val="Hyperlink"/>
            <w:vertAlign w:val="superscript"/>
          </w:rPr>
          <w:t xml:space="preserve">29</w:t>
        </w:r>
      </w:hyperlink>
      <w:r>
        <w:rPr>
          <w:vertAlign w:val="superscript"/>
        </w:rPr>
        <w:t xml:space="preserve">,</w:t>
      </w:r>
      <w:hyperlink w:anchor="ref-PIRfSNMl">
        <w:r>
          <w:rPr>
            <w:rStyle w:val="Hyperlink"/>
            <w:vertAlign w:val="superscript"/>
          </w:rPr>
          <w:t xml:space="preserve">30</w:t>
        </w:r>
      </w:hyperlink>
      <w:r>
        <w:t xml:space="preserve"> </w:t>
      </w:r>
      <w:r>
        <w:t xml:space="preserve">or downregulating</w:t>
      </w:r>
      <w:hyperlink w:anchor="ref-uMIi8rGN">
        <w:r>
          <w:rPr>
            <w:rStyle w:val="Hyperlink"/>
            <w:vertAlign w:val="superscript"/>
          </w:rPr>
          <w:t xml:space="preserve">31</w:t>
        </w:r>
      </w:hyperlink>
      <w:r>
        <w:t xml:space="preserve"> </w:t>
      </w:r>
      <w:r>
        <w:t xml:space="preserve">the expression of certain receptors. In this case, both the current and potential abundance of each receptor must be considered. While this work does not address many of these issues, we propose that using a computational binding model can analyze these strategies quantitatively and collectively from a mechanistic perspective. Even when the absolute mathematically optimal ligand characteristics cannot be achieved biochemically, our analyses provide guidance within the bounds of what is attainable and how to approach the optimum, accounting for implementation feasibility and facilitating the implementation of strategy combinations.</w:t>
      </w:r>
    </w:p>
    <w:p>
      <w:pPr>
        <w:pStyle w:val="BodyText"/>
      </w:pPr>
      <w:r>
        <w:t xml:space="preserve">In many therapeutic applications where selective engagement of target cell populations is an important performance metric, such as the treatment of cancer, cellular therapies are becoming increasingly popular.</w:t>
      </w:r>
      <w:hyperlink w:anchor="ref-bi6A2xzH">
        <w:r>
          <w:rPr>
            <w:rStyle w:val="Hyperlink"/>
            <w:vertAlign w:val="superscript"/>
          </w:rPr>
          <w:t xml:space="preserve">32</w:t>
        </w:r>
      </w:hyperlink>
      <w:r>
        <w:t xml:space="preserve"> </w:t>
      </w:r>
      <w:r>
        <w:t xml:space="preserve">Human engineered chimeric antigen receptor (CAR) T cells have enhanced the potential to selectively recognize and attack malignant tissues.</w:t>
      </w:r>
      <w:hyperlink w:anchor="ref-Fp4dDXV1">
        <w:r>
          <w:rPr>
            <w:rStyle w:val="Hyperlink"/>
            <w:vertAlign w:val="superscript"/>
          </w:rPr>
          <w:t xml:space="preserve">33</w:t>
        </w:r>
      </w:hyperlink>
      <w:r>
        <w:t xml:space="preserve"> </w:t>
      </w:r>
      <w:r>
        <w:t xml:space="preserve">These technologies bypass ligand-receptor binding restrictions by allowing recognition in signaling response. However, we have shown here that selectivity can often be attained with relatively simple therapeutic ligands. This study lays the framework for how ligand engineering can be directed using computational modeling. It should be noted that the application of this logic is reliant on knowledge of the target and off-target cell population receptor expression levels. Future application of the ligand binding logic described in this study could be guided using high-throughput single-cell profiling techniques, such as RNA-seq or high-parameter flow cytometry. A computational tool that could directly translate such datasets into ligand design criteria, selecting among potential receptor targets,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17</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according to their relative proportion. The number of ligand complexes in the solution is usually much greater than that of the receptors, so we assume binding does not deplete the ligand concentration.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bound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ligands are not randomly sorted into multivalent complexes, such as with the Fabs of bispecific antibodies, the proportions of each kind of complex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34</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t> </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oMath>
      <w:r>
        <w:t xml:space="preserve"> </w:t>
      </w:r>
      <w:r>
        <w:t xml:space="preserve">to</w:t>
      </w:r>
      <w:r>
        <w:t xml:space="preserve"> </w:t>
      </w:r>
      <m:oMath>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t> </m:t>
        </m:r>
        <m:r>
          <m:rPr>
            <m:sty m:val="p"/>
          </m:rPr>
          <m:t>m</m:t>
        </m:r>
        <m:r>
          <m:rPr>
            <m:sty m:val="p"/>
          </m:rPr>
          <m:t>M</m:t>
        </m:r>
      </m:oMath>
      <w:r>
        <w:t xml:space="preserve"> </w:t>
      </w:r>
      <w:r>
        <w:t xml:space="preserve">to</w:t>
      </w:r>
      <w:r>
        <w:t xml:space="preserve"> </w:t>
      </w:r>
      <m:oMath>
        <m:r>
          <m:t>0.1</m:t>
        </m:r>
        <m:r>
          <m:t> </m:t>
        </m:r>
        <m:r>
          <m:rPr>
            <m:sty m:val="p"/>
          </m:rPr>
          <m:t>n</m:t>
        </m:r>
        <m:r>
          <m:rPr>
            <m:sty m:val="p"/>
          </m:rPr>
          <m:t>M</m:t>
        </m:r>
      </m:oMath>
      <w:r>
        <w:t xml:space="preserve"> </w:t>
      </w:r>
      <w:r>
        <w:t xml:space="preserve">for the affinity dissociation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the sigma point filters,</w:t>
      </w:r>
      <w:hyperlink w:anchor="ref-VKATSjfe">
        <w:r>
          <w:rPr>
            <w:rStyle w:val="Hyperlink"/>
            <w:vertAlign w:val="superscript"/>
          </w:rPr>
          <w:t xml:space="preserve">16</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18</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w:t>
      </w:r>
      <w:r>
        <w:t xml:space="preserve"> </w:t>
      </w:r>
      <m:oMath>
        <m:r>
          <m:t>0.16</m:t>
        </m:r>
        <m:r>
          <m:t>–</m:t>
        </m:r>
        <m:r>
          <m:t>500</m:t>
        </m:r>
        <m:r>
          <m:t> </m:t>
        </m:r>
        <m:r>
          <m:rPr>
            <m:sty m:val="p"/>
          </m:rPr>
          <m:t>n</m:t>
        </m:r>
        <m:r>
          <m:rPr>
            <m:sty m:val="p"/>
          </m:rPr>
          <m:t>M</m:t>
        </m:r>
      </m:oMath>
      <w:r>
        <w:t xml:space="preserve">. C5 and B22 are high and low affinity fibronectin binding domains respectively. Using nonlinear least-squares regression, the crosslinking coefficient was found to be</w:t>
      </w:r>
      <w:r>
        <w:t xml:space="preserve"> </w:t>
      </w:r>
      <m:oMath>
        <m:r>
          <m:t>1.11</m:t>
        </m:r>
        <m:r>
          <m:t>×</m:t>
        </m:r>
        <m:sSup>
          <m:e>
            <m:r>
              <m:t>10</m:t>
            </m:r>
          </m:e>
          <m:sup>
            <m:r>
              <m:t>−</m:t>
            </m:r>
            <m:r>
              <m:t>12</m:t>
            </m:r>
          </m:sup>
        </m:sSup>
      </m:oMath>
      <w:r>
        <w:t xml:space="preserve">; the dissociation constants for C5 and B22 were found to be</w:t>
      </w:r>
      <w:r>
        <w:t xml:space="preserve"> </w:t>
      </w:r>
      <m:oMath>
        <m:r>
          <m:t>1.73</m:t>
        </m:r>
        <m:r>
          <m:t> </m:t>
        </m:r>
        <m:r>
          <m:rPr>
            <m:sty m:val="p"/>
          </m:rPr>
          <m:t>μ</m:t>
        </m:r>
        <m:r>
          <m:rPr>
            <m:sty m:val="p"/>
          </m:rPr>
          <m:t>M</m:t>
        </m:r>
      </m:oMath>
      <w:r>
        <w:t xml:space="preserve"> </w:t>
      </w:r>
      <w:r>
        <w:t xml:space="preserve">and</w:t>
      </w:r>
      <w:r>
        <w:t xml:space="preserve"> </w:t>
      </w:r>
      <m:oMath>
        <m:r>
          <m:t>3.24</m:t>
        </m:r>
        <m:r>
          <m:t> </m:t>
        </m:r>
        <m:r>
          <m:rPr>
            <m:sty m:val="p"/>
          </m:rPr>
          <m:t>μ</m:t>
        </m:r>
        <m:r>
          <m:rPr>
            <m:sty m:val="p"/>
          </m:rPr>
          <m:t>M</m:t>
        </m:r>
      </m:oMath>
      <w:r>
        <w:t xml:space="preserve"> </w:t>
      </w:r>
      <w:r>
        <w:t xml:space="preserve">respectively, and ligand to fluorescent conversion factor for C5 and B22 were found to be</w:t>
      </w:r>
      <w:r>
        <w:t xml:space="preserve"> </w:t>
      </w:r>
      <m:oMath>
        <m:r>
          <m:t>5.1</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w:t>
      </w:r>
      <w:r>
        <w:t xml:space="preserve"> </w:t>
      </w:r>
      <m:oMath>
        <m:r>
          <m:t>0.16</m:t>
        </m:r>
        <m:r>
          <m:t>–</m:t>
        </m:r>
        <m:r>
          <m:t>500</m:t>
        </m:r>
        <m:r>
          <m:t> </m:t>
        </m:r>
        <m:r>
          <m:rPr>
            <m:sty m:val="p"/>
          </m:rPr>
          <m:t>n</m:t>
        </m:r>
        <m:r>
          <m:rPr>
            <m:sty m:val="p"/>
          </m:rPr>
          <m:t>M</m:t>
        </m:r>
      </m:oMath>
      <w:r>
        <w:t xml:space="preserve">. C5 and B22 are high and low affinity fibronectin binding domains respectively. Using nonlinear least-squares regression, the crosslinking coefficient was found to be</w:t>
      </w:r>
      <w:r>
        <w:t xml:space="preserve"> </w:t>
      </w:r>
      <m:oMath>
        <m:r>
          <m:t>1.11</m:t>
        </m:r>
        <m:r>
          <m:t>×</m:t>
        </m:r>
        <m:sSup>
          <m:e>
            <m:r>
              <m:t>10</m:t>
            </m:r>
          </m:e>
          <m:sup>
            <m:r>
              <m:t>−</m:t>
            </m:r>
            <m:r>
              <m:t>12</m:t>
            </m:r>
          </m:sup>
        </m:sSup>
      </m:oMath>
      <w:r>
        <w:t xml:space="preserve">; the dissociation constants for C5 and B22 were found to be</w:t>
      </w:r>
      <w:r>
        <w:t xml:space="preserve"> </w:t>
      </w:r>
      <m:oMath>
        <m:r>
          <m:t>1.73</m:t>
        </m:r>
        <m:r>
          <m:t> </m:t>
        </m:r>
        <m:r>
          <m:rPr>
            <m:sty m:val="p"/>
          </m:rPr>
          <m:t>μ</m:t>
        </m:r>
        <m:r>
          <m:rPr>
            <m:sty m:val="p"/>
          </m:rPr>
          <m:t>M</m:t>
        </m:r>
      </m:oMath>
      <w:r>
        <w:t xml:space="preserve"> </w:t>
      </w:r>
      <w:r>
        <w:t xml:space="preserve">and</w:t>
      </w:r>
      <w:r>
        <w:t xml:space="preserve"> </w:t>
      </w:r>
      <m:oMath>
        <m:r>
          <m:t>3.24</m:t>
        </m:r>
        <m:r>
          <m:t> </m:t>
        </m:r>
        <m:r>
          <m:rPr>
            <m:sty m:val="p"/>
          </m:rPr>
          <m:t>μ</m:t>
        </m:r>
        <m:r>
          <m:rPr>
            <m:sty m:val="p"/>
          </m:rPr>
          <m:t>M</m:t>
        </m:r>
      </m:oMath>
      <w:r>
        <w:t xml:space="preserve"> </w:t>
      </w:r>
      <w:r>
        <w:t xml:space="preserve">respectively, and ligand to fluorescent conversion factor for C5 and B22 were found to be</w:t>
      </w:r>
      <w:r>
        <w:t xml:space="preserve"> </w:t>
      </w:r>
      <m:oMath>
        <m:r>
          <m:t>5.1</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Cold Spring Harbor Laboratory</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VKATSjfe"/>
    <w:p>
      <w:pPr>
        <w:pStyle w:val="Bibliography"/>
      </w:pPr>
      <w:r>
        <w:t xml:space="preserve">16. Merwe, R. van der. Sigma-Point Kalman Filters for Probabilistic Inference in Dynamic State-Space Models. (2004).</w:t>
      </w:r>
    </w:p>
    <w:bookmarkEnd w:id="76"/>
    <w:bookmarkStart w:id="77" w:name="ref-11gk5tUo7"/>
    <w:p>
      <w:pPr>
        <w:pStyle w:val="Bibliography"/>
      </w:pPr>
      <w:r>
        <w:t xml:space="preserve">17.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77"/>
    <w:bookmarkStart w:id="78" w:name="ref-u2Cb0DBq"/>
    <w:p>
      <w:pPr>
        <w:pStyle w:val="Bibliography"/>
      </w:pPr>
      <w:r>
        <w:t xml:space="preserve">18.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8"/>
    <w:bookmarkStart w:id="79" w:name="ref-IanZRiFA"/>
    <w:p>
      <w:pPr>
        <w:pStyle w:val="Bibliography"/>
      </w:pPr>
      <w:r>
        <w:t xml:space="preserve">19.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40098 (2017).</w:t>
      </w:r>
    </w:p>
    <w:bookmarkEnd w:id="79"/>
    <w:bookmarkStart w:id="80" w:name="ref-luDqQ0zL"/>
    <w:p>
      <w:pPr>
        <w:pStyle w:val="Bibliography"/>
      </w:pPr>
      <w:r>
        <w:t xml:space="preserve">20.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80"/>
    <w:bookmarkStart w:id="81" w:name="ref-eR2h4yr3"/>
    <w:p>
      <w:pPr>
        <w:pStyle w:val="Bibliography"/>
      </w:pPr>
      <w:r>
        <w:t xml:space="preserve">21.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1"/>
    <w:bookmarkStart w:id="82" w:name="ref-8lU1hNlA"/>
    <w:p>
      <w:pPr>
        <w:pStyle w:val="Bibliography"/>
      </w:pPr>
      <w:r>
        <w:t xml:space="preserve">22.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2"/>
    <w:bookmarkStart w:id="83" w:name="ref-iG3t9Py2"/>
    <w:p>
      <w:pPr>
        <w:pStyle w:val="Bibliography"/>
      </w:pPr>
      <w:r>
        <w:t xml:space="preserve">23.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3"/>
    <w:bookmarkStart w:id="84" w:name="ref-18yoQOgm4"/>
    <w:p>
      <w:pPr>
        <w:pStyle w:val="Bibliography"/>
      </w:pPr>
      <w:r>
        <w:t xml:space="preserve">24.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4"/>
    <w:bookmarkStart w:id="85" w:name="ref-y7JtEfom"/>
    <w:p>
      <w:pPr>
        <w:pStyle w:val="Bibliography"/>
      </w:pPr>
      <w:r>
        <w:t xml:space="preserve">25.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5"/>
    <w:bookmarkStart w:id="86" w:name="ref-uVvF8Fgs"/>
    <w:p>
      <w:pPr>
        <w:pStyle w:val="Bibliography"/>
      </w:pPr>
      <w:r>
        <w:t xml:space="preserve">26. Hlavacek, W. S., Posner, R. G. &amp; Perelson, A. S. Steric effects on multivalent ligand-receptor binding: exclusion of ligand sites by bound cell surface receptors.</w:t>
      </w:r>
      <w:r>
        <w:t xml:space="preserve"> </w:t>
      </w:r>
      <w:r>
        <w:rPr>
          <w:i/>
        </w:rPr>
        <w:t xml:space="preserve">Biophys J</w:t>
      </w:r>
      <w:r>
        <w:t xml:space="preserve"> </w:t>
      </w:r>
      <w:r>
        <w:rPr>
          <w:b/>
        </w:rPr>
        <w:t xml:space="preserve">76</w:t>
      </w:r>
      <w:r>
        <w:t xml:space="preserve">, 3031–43 (1999).</w:t>
      </w:r>
    </w:p>
    <w:bookmarkEnd w:id="86"/>
    <w:bookmarkStart w:id="87" w:name="ref-FqWAsZ7z"/>
    <w:p>
      <w:pPr>
        <w:pStyle w:val="Bibliography"/>
      </w:pPr>
      <w:r>
        <w:t xml:space="preserve">27.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7"/>
    <w:bookmarkStart w:id="88" w:name="ref-L2k7ECfb"/>
    <w:p>
      <w:pPr>
        <w:pStyle w:val="Bibliography"/>
      </w:pPr>
      <w:r>
        <w:t xml:space="preserve">28.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8"/>
    <w:bookmarkStart w:id="89" w:name="ref-3WVNxYBN"/>
    <w:p>
      <w:pPr>
        <w:pStyle w:val="Bibliography"/>
      </w:pPr>
      <w:r>
        <w:t xml:space="preserve">29.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9"/>
    <w:bookmarkStart w:id="90" w:name="ref-PIRfSNMl"/>
    <w:p>
      <w:pPr>
        <w:pStyle w:val="Bibliography"/>
      </w:pPr>
      <w:r>
        <w:t xml:space="preserve">30.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90"/>
    <w:bookmarkStart w:id="91" w:name="ref-uMIi8rGN"/>
    <w:p>
      <w:pPr>
        <w:pStyle w:val="Bibliography"/>
      </w:pPr>
      <w:r>
        <w:t xml:space="preserve">31.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91"/>
    <w:bookmarkStart w:id="92" w:name="ref-bi6A2xzH"/>
    <w:p>
      <w:pPr>
        <w:pStyle w:val="Bibliography"/>
      </w:pPr>
      <w:r>
        <w:t xml:space="preserve">32.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2"/>
    <w:bookmarkStart w:id="93" w:name="ref-Fp4dDXV1"/>
    <w:p>
      <w:pPr>
        <w:pStyle w:val="Bibliography"/>
      </w:pPr>
      <w:r>
        <w:t xml:space="preserve">33.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3"/>
    <w:bookmarkStart w:id="94" w:name="ref-8Miti2Gz"/>
    <w:p>
      <w:pPr>
        <w:pStyle w:val="Bibliography"/>
      </w:pPr>
      <w:r>
        <w:t xml:space="preserve">34.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rPr>
          <w:b/>
        </w:rPr>
        <w:t xml:space="preserve">17</w:t>
      </w:r>
      <w:r>
        <w:t xml:space="preserve">, 261–272 (2020).</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4" Target="https://github.com/borcuttjahns" TargetMode="External" /><Relationship Type="http://schemas.openxmlformats.org/officeDocument/2006/relationships/hyperlink" Id="rId22"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3" Target="https://orcid.org/0000-0002-1436-1224" TargetMode="External" /><Relationship Type="http://schemas.openxmlformats.org/officeDocument/2006/relationships/hyperlink" Id="rId21"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4" Target="https://github.com/borcuttjahns" TargetMode="External" /><Relationship Type="http://schemas.openxmlformats.org/officeDocument/2006/relationships/hyperlink" Id="rId22"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3" Target="https://orcid.org/0000-0002-1436-1224" TargetMode="External" /><Relationship Type="http://schemas.openxmlformats.org/officeDocument/2006/relationships/hyperlink" Id="rId21"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2020-11-30T20:44:49Z</dcterms:created>
  <dcterms:modified xsi:type="dcterms:W3CDTF">2020-11-30T20:44:49Z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2020-11-30</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