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20,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Non-cellular therapies such as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improvements in cell-specific targeting.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off-target cells binding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not expressed by off-target cell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amounts (Fig.</w:t>
      </w:r>
      <w:r>
        <w:t xml:space="preserve"> </w:t>
      </w:r>
      <w:hyperlink w:anchor="fig:affinity">
        <w:r>
          <w:rPr>
            <w:rStyle w:val="Hyperlink"/>
          </w:rPr>
          <w:t xml:space="preserve">2</w:t>
        </w:r>
      </w:hyperlink>
      <w:r>
        <w:t xml:space="preserve">c,d). Becuase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Previous work has shown that our binding model can accurately predict the complicated multivalent binding process between IgG antibodies and Fcγ receptors.</w:t>
      </w:r>
      <w:hyperlink w:anchor="ref-11gk5tUo7">
        <w:r>
          <w:rPr>
            <w:rStyle w:val="Hyperlink"/>
            <w:vertAlign w:val="superscript"/>
          </w:rPr>
          <w:t xml:space="preserve">16</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17</w:t>
        </w:r>
      </w:hyperlink>
      <w:r>
        <w:t xml:space="preserve"> </w:t>
      </w:r>
      <w:r>
        <w:t xml:space="preserve">After fitting to determine the crosslinking coefficient and receptor affinity values, our model was able to accurately match the binding of nanorings with four or eight binding units to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18</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w:t>
      </w:r>
      <w:r>
        <w:t xml:space="preserve">and the valency of the ligand is varied across subplots. It is shown that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is shown by our model, and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amount of receptors no higher than its valency, which we will refer to as its binding degree. Our model allowed us to identify the mechanism of valency-mediated receptor abundance selectivity by examining the distribution of ligands bound at each degree to different cells.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bound by having them binding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two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16</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Here, we compare bispecificity with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We investigated if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For the heterovalent bispecific case, ligand fully bound will only account for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concavity of contour lines indicates that for bispecific complexes, double-positive cells bind more ligands fully than singly-positively expressed cells.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It describes how easily a multivalent ligand bound to a cell monovalently can attain secondary binding. Typically in biochemistry, when there is less steric hindrance among the subunits of a multivalent drug molecule (e.g. longer tether and smaller subunit size), or when there is local receptor clustering on the target cell, secondary binding will be easier to achieve, corresponding to larger</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compared the selectivities between some chosen target-to-off-target cell population pairs under bispecific drugs versus another drugs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the selectivities imparted by a bispecific drug divided by the selectivities from a drug mixture of either monovalent (Fig.</w:t>
      </w:r>
      <w:r>
        <w:t xml:space="preserve"> </w:t>
      </w:r>
      <w:hyperlink w:anchor="fig:bispecific">
        <w:r>
          <w:rPr>
            <w:rStyle w:val="Hyperlink"/>
          </w:rPr>
          <w:t xml:space="preserve">5</w:t>
        </w:r>
      </w:hyperlink>
      <w:r>
        <w:t xml:space="preserve">g) or homogeneous bivalent (Fig.</w:t>
      </w:r>
      <w:r>
        <w:t xml:space="preserve"> </w:t>
      </w:r>
      <w:hyperlink w:anchor="fig:bispecific">
        <w:r>
          <w:rPr>
            <w:rStyle w:val="Hyperlink"/>
          </w:rPr>
          <w:t xml:space="preserve">5</w:t>
        </w:r>
      </w:hyperlink>
      <w:r>
        <w:t xml:space="preserve">h). When these quotients are larger, it implies that fully bound bispecific ligand has much larger more advantages than its counterpart to impart selective binding for the chosen target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for ligand characteristics to vary within biologically plausible bounds; which characteristics we allowed to vary defined our examination of the efficacy of our various ligand engineering strategies (Fig.</w:t>
      </w:r>
      <w:r>
        <w:t xml:space="preserve"> </w:t>
      </w:r>
      <w:hyperlink w:anchor="fig:combination">
        <w:r>
          <w:rPr>
            <w:rStyle w:val="Hyperlink"/>
          </w:rPr>
          <w:t xml:space="preserve">6</w:t>
        </w:r>
      </w:hyperlink>
      <w:r>
        <w:t xml:space="preserve">). To simulate the effects of affinity engineering, we allowed ligand-receptor affinities to vary. To understand the effects of valency and mixture engineering on selectivity, we allowed ligand valency and ligand mixture composition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engineering is unable to impart some small contributions to enhanced selectivity, significant improvement is only achieved when utilizing valency modulation techniques.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any modulation of affinity, valency or combining it with mixture-based strategies seems ineffective. It should be noted that in all described cases, engineering the composition of a mixture of ligands is generaly ineffective for imparting selectivity when the ligand’s design specifications are flexible, and is likely only efficacious when using ligands with static properties and considering multiple off-target populations.</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Binding selectivity was enhanced by increasing the affinity of the ligand for those receptors that are more abundantly expressed on the target cells and decreasing its affinity for those that are not. Selectivity depended upon large differences in receptor expression levels between on- and off-target populations. When target and off-target populations expressed the same pattern of receptors and only differed in receptor abundances, modulations in valency, but not affinity, were effective (Fig.</w:t>
      </w:r>
      <w:r>
        <w:t xml:space="preserve"> </w:t>
      </w:r>
      <w:hyperlink w:anchor="fig:valency">
        <w:r>
          <w:rPr>
            <w:rStyle w:val="Hyperlink"/>
          </w:rPr>
          <w:t xml:space="preserve">3</w:t>
        </w:r>
      </w:hyperlink>
      <w:r>
        <w:t xml:space="preserve">). A key determinant of valency’s effectiveness was the secondary binding and unbinding rate which is dependent on both the kinetics of the receptor-ligand interaction and receptor abundance. Ligand mixtures were mostly ineffective for imparting binding selectivity, and only had modest benefits when considering three or more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selectivity.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 for selection of target populations based on their lack of receptor expression (Fig.</w:t>
      </w:r>
      <w:r>
        <w:t xml:space="preserve"> </w:t>
      </w:r>
      <w:hyperlink w:anchor="fig:deadLig">
        <w:r>
          <w:rPr>
            <w:rStyle w:val="Hyperlink"/>
          </w:rPr>
          <w:t xml:space="preserve">7</w:t>
        </w:r>
      </w:hyperlink>
      <w:r>
        <w:t xml:space="preserve">).</w:t>
      </w:r>
    </w:p>
    <w:p>
      <w:pPr>
        <w:pStyle w:val="BodyText"/>
      </w:pPr>
      <w:r>
        <w:t xml:space="preserve">While our multivalent binding model identified strategies for selective targeting in many cases, it also identified situations for which selective binding is challenging. For example, selectively targeting populations based on their absence of receptor expression remains challenging. While we computationally show the potential of using multivalent antagonists with monovalent agonists, implementing this may be challenging. In cases where a target population expresses fewer receptors of any kind than an off-target population, our analysis suggests that targeting other receptors should be considered. However, in cases where target populations express more of any type of receptor than an off-target population, we show that one or more of our formulated ligand engineering strategies can be employed to improve binding selectivity. While we expect the same patterns to apply with greater than two receptors, certain emergent behaviors may exist with tri-specific and more complex ligand binding.</w:t>
      </w:r>
    </w:p>
    <w:p>
      <w:pPr>
        <w:pStyle w:val="BodyText"/>
      </w:pPr>
      <w:r>
        <w:t xml:space="preserve">A few of strategies we explored are already utilized in existing engineered therapies. For example, affinity changes to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selective cell clearance based upon the levels of expressed antigen.</w:t>
      </w:r>
      <w:hyperlink w:anchor="ref-IanZRiFA">
        <w:r>
          <w:rPr>
            <w:rStyle w:val="Hyperlink"/>
            <w:vertAlign w:val="superscript"/>
          </w:rPr>
          <w:t xml:space="preserve">18</w:t>
        </w:r>
      </w:hyperlink>
      <w:r>
        <w:t xml:space="preserve"> </w:t>
      </w:r>
      <w:r>
        <w:t xml:space="preserve">Manipulating of the affinities of the fibronectin domains on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tendency of low-affinity, multivalent interactions to target cells expressing high receptor abundances was also described in a study describing the selectivity of multivalent antibody binding to tumor cells bound by a bispecific therapeutic ligand.</w:t>
      </w:r>
      <w:hyperlink w:anchor="ref-B0xrCfE3">
        <w:r>
          <w:rPr>
            <w:rStyle w:val="Hyperlink"/>
            <w:vertAlign w:val="superscript"/>
          </w:rPr>
          <w:t xml:space="preserve">13</w:t>
        </w:r>
      </w:hyperlink>
      <w:r>
        <w:t xml:space="preserve"> </w:t>
      </w:r>
      <w:r>
        <w:t xml:space="preserve">These examples lend support to the accuracy of our model. At the same time, recognizing these previously described ligand engineering approaches as separable strategies provides clearer guidance for future engineering.</w:t>
      </w:r>
    </w:p>
    <w:p>
      <w:pPr>
        <w:pStyle w:val="BodyText"/>
      </w:pPr>
      <w:r>
        <w:t xml:space="preserve">Some of the optimization strategies described here have not been exploited in part due to the complexity of real biological applications. First, some strategies may not be biochemically practical. For example, the manipulating ligand affinity requires intricate protein engineering.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the expression of certain receptors. In this case, both the current and potential abundance of each receptor must be considered.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for implementation feasibility and facilitating the implementation of strategy combinations.</w:t>
      </w:r>
    </w:p>
    <w:p>
      <w:pPr>
        <w:pStyle w:val="BodyText"/>
      </w:pPr>
      <w:r>
        <w:t xml:space="preserve">In many therapeutic applications where selective engagement of target cell populations is an important performance metric, such as the treatment of cancer, cellular therapies are becoming increasingly popular.</w:t>
      </w:r>
      <w:hyperlink w:anchor="ref-bi6A2xzH">
        <w:r>
          <w:rPr>
            <w:rStyle w:val="Hyperlink"/>
            <w:vertAlign w:val="superscript"/>
          </w:rPr>
          <w:t xml:space="preserve">30</w:t>
        </w:r>
      </w:hyperlink>
      <w:r>
        <w:t xml:space="preserve"> </w:t>
      </w:r>
      <w:r>
        <w:t xml:space="preserve">Human engineered chimeric antigen receptor (CAR) T cells have enhanced the potential to selectively recognize and attack malignant tissues.</w:t>
      </w:r>
      <w:hyperlink w:anchor="ref-Fp4dDXV1">
        <w:r>
          <w:rPr>
            <w:rStyle w:val="Hyperlink"/>
            <w:vertAlign w:val="superscript"/>
          </w:rPr>
          <w:t xml:space="preserve">31</w:t>
        </w:r>
      </w:hyperlink>
      <w:r>
        <w:t xml:space="preserve"> </w:t>
      </w:r>
      <w:r>
        <w:t xml:space="preserve">These technologies bypass ligand-receptor binding restrictions by allowing recognition in signaling response. However, we have shown here that selectivity can often be attained with relatively simple therapeutic ligands. This study lays the framework for how ligand engineering can be directed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directly translate such datasets into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16</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rPr>
            <m:sty m:val="p"/>
          </m:rPr>
          <m:t>m</m:t>
        </m:r>
        <m:r>
          <m:rPr>
            <m:sty m:val="p"/>
          </m:rPr>
          <m:t>M</m:t>
        </m:r>
        <m:r>
          <m:t>∼</m:t>
        </m:r>
        <m:r>
          <m:t>0.1</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11gk5tUo7"/>
    <w:p>
      <w:pPr>
        <w:pStyle w:val="Bibliography"/>
      </w:pPr>
      <w:r>
        <w:t xml:space="preserve">16.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IanZRiFA"/>
    <w:p>
      <w:pPr>
        <w:pStyle w:val="Bibliography"/>
      </w:pPr>
      <w:r>
        <w:t xml:space="preserve">18.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2020-10-20T19:29:25Z</dcterms:created>
  <dcterms:modified xsi:type="dcterms:W3CDTF">2020-10-20T19:29:25Z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2020-10-20</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