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8,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and its reciprocal is defined as the dissociation constant</w:t>
      </w:r>
      <w:r>
        <w:t xml:space="preserve"> </w:t>
      </w:r>
      <m:oMath>
        <m:sSub>
          <m:e>
            <m:r>
              <m:t>K</m:t>
            </m:r>
          </m:e>
          <m:sub>
            <m:r>
              <m:t>d</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dissociation constants to the two receptors to be</w:t>
      </w:r>
      <w:r>
        <w:t xml:space="preserve"> </w:t>
      </w:r>
      <m:oMath>
        <m:r>
          <m:t>10</m:t>
        </m:r>
        <m:r>
          <m:rPr>
            <m:sty m:val="p"/>
          </m:rPr>
          <m:t>μ</m:t>
        </m:r>
        <m:r>
          <m:rPr>
            <m:sty m:val="p"/>
          </m:rPr>
          <m:t>M</m:t>
        </m:r>
      </m:oMath>
      <w:r>
        <w:t xml:space="preserve"> </w:t>
      </w:r>
      <w:r>
        <w:t xml:space="preserve">and</w:t>
      </w:r>
      <w:r>
        <w:t xml:space="preserve"> </w:t>
      </w:r>
      <m:oMath>
        <m:sSup>
          <m:e>
            <m:r>
              <m:t>10</m:t>
            </m:r>
          </m:e>
          <m:sup>
            <m:r>
              <m:t>2</m:t>
            </m:r>
          </m:sup>
        </m:sSup>
        <m:r>
          <m:rPr>
            <m:sty m:val="p"/>
          </m:rPr>
          <m:t>n</m:t>
        </m:r>
        <m:r>
          <m:rPr>
            <m:sty m:val="p"/>
          </m:rPr>
          <m:t>M</m:t>
        </m:r>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In situations where both target and off target receptors express of a receptor of interest, but in differing quantities, such as when comparing</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we see that it is beneficial for a ligand to bind most tightly to the differentially expressed receptor (Fig.</w:t>
      </w:r>
      <w:r>
        <w:t xml:space="preserve"> </w:t>
      </w:r>
      <w:hyperlink w:anchor="fig:affinity">
        <w:r>
          <w:rPr>
            <w:rStyle w:val="Hyperlink"/>
          </w:rPr>
          <w:t xml:space="preserve">2</w:t>
        </w:r>
      </w:hyperlink>
      <w:r>
        <w:t xml:space="preserve">b).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is inneffective (Fig.</w:t>
      </w:r>
      <w:r>
        <w:t xml:space="preserve"> </w:t>
      </w:r>
      <w:hyperlink w:anchor="fig:affinity">
        <w:r>
          <w:rPr>
            <w:rStyle w:val="Hyperlink"/>
          </w:rPr>
          <w:t xml:space="preserve">2</w:t>
        </w:r>
      </w:hyperlink>
      <w:r>
        <w:t xml:space="preserve">d).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also expect greater intra-population variation in binding to the latter (Fig.</w:t>
      </w:r>
      <w:r>
        <w:t xml:space="preserve"> </w:t>
      </w:r>
      <w:hyperlink w:anchor="fig:affinity">
        <w:r>
          <w:rPr>
            <w:rStyle w:val="Hyperlink"/>
          </w:rPr>
          <w:t xml:space="preserve">2</w:t>
        </w:r>
      </w:hyperlink>
      <w:r>
        <w:t xml:space="preserve">a).</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The ligand only binds to receptor</w:t>
      </w:r>
      <w:r>
        <w:t xml:space="preserve"> </w:t>
      </w:r>
      <m:oMath>
        <m:sSub>
          <m:e>
            <m:r>
              <m:t>R</m:t>
            </m:r>
          </m:e>
          <m:sub>
            <m:r>
              <m:t>1</m:t>
            </m:r>
          </m:sub>
        </m:sSub>
      </m:oMath>
      <w:r>
        <w:t xml:space="preserve"> </w:t>
      </w:r>
      <w:r>
        <w:t xml:space="preserve">and the valency of the ligand is varied across subplots. The most notable effect of changing valency is observed as variable density of binding isoclines in the contour plot. For example, in the monovalent case, the relative quantities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Previous work has shown that our multivalent binding can accurately predict the complicated binding process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Selectivity derived by changing valency requires coordinate changes in affinity. Like we predict, lower affinity, multi-valent interactions have been shown to exhibit selectivity based on receptor abundance.</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high, medium, and low affinities (</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fails.</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r>
          <m:t>1</m:t>
        </m:r>
        <m:r>
          <m:t>×</m:t>
        </m:r>
        <m:sSup>
          <m:e>
            <m:r>
              <m:t>10</m:t>
            </m:r>
          </m:e>
          <m:sup>
            <m:r>
              <m:t>4</m:t>
            </m:r>
          </m:sup>
        </m:sSup>
      </m:oMath>
      <w:r>
        <w:t xml:space="preserve"> </w:t>
      </w:r>
      <w:r>
        <w:t xml:space="preserve">receptors. f) Number of octavalent complex bound at each degree for a cell with</w:t>
      </w:r>
      <w:r>
        <w:t xml:space="preserve"> </w:t>
      </w:r>
      <m:oMath>
        <m:r>
          <m:t>1</m:t>
        </m:r>
        <m:r>
          <m:t>×</m:t>
        </m:r>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r>
          <m:t>1</m:t>
        </m:r>
        <m:r>
          <m:t>×</m:t>
        </m:r>
        <m:sSup>
          <m:e>
            <m:r>
              <m:t>10</m:t>
            </m:r>
          </m:e>
          <m:sup>
            <m:r>
              <m:t>4</m:t>
            </m:r>
          </m:sup>
        </m:sSup>
      </m:oMath>
      <w:r>
        <w:t xml:space="preserve"> </w:t>
      </w:r>
      <w:r>
        <w:t xml:space="preserve">receptors. f) Number of octavalent complex bound at each degree for a cell with</w:t>
      </w:r>
      <w:r>
        <w:t xml:space="preserve"> </w:t>
      </w:r>
      <m:oMath>
        <m:r>
          <m:t>1</m:t>
        </m:r>
        <m:r>
          <m:t>×</m:t>
        </m:r>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exemplar to explore the unique benefit of multispecificity distinct from any strategy analyzed before. We compared bispecificity to two aforementioned strategies: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to a 50%-50% monovalent mixture, we can elucidate the extra benefit of tethering these two monomers into one complex. A bispecific ligand is also by nature bivalent, and by comparing it to homogeneous bivalent drugs, we can understand how having two different subunits in the same complex modify the behavior of a drug. Together, we sought to identify the unique advantage of heterovalency.</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 </w:t>
      </w:r>
      <w:r>
        <w:t xml:space="preserve">a), a 50%-50% mixture of two monomers (Fig</w:t>
      </w:r>
      <w:r>
        <w:t xml:space="preserve"> </w:t>
      </w:r>
      <w:hyperlink w:anchor="fig:bispecific">
        <w:r>
          <w:rPr>
            <w:rStyle w:val="Hyperlink"/>
          </w:rPr>
          <w:t xml:space="preserve">5</w:t>
        </w:r>
      </w:hyperlink>
      <w:r>
        <w:t xml:space="preserve"> </w:t>
      </w:r>
      <w:r>
        <w:t xml:space="preserve">b), and a 50%-50% mixture of two different homogeneous bivalents (Fig</w:t>
      </w:r>
      <w:r>
        <w:t xml:space="preserve"> </w:t>
      </w:r>
      <w:hyperlink w:anchor="fig:bispecific">
        <w:r>
          <w:rPr>
            <w:rStyle w:val="Hyperlink"/>
          </w:rPr>
          <w:t xml:space="preserve">5</w:t>
        </w:r>
      </w:hyperlink>
      <w:r>
        <w:t xml:space="preserve"> </w:t>
      </w:r>
      <w:r>
        <w:t xml:space="preserve">c), with the same set of parameters in ligand concentration and affinities. It turned out that the patterns of ligand bounds of these three cases are almost exactly the same, and bispecific doesn’t exhibit any merit. We then investigated if bispecific ligands that have to be activated with both of their subunits binding to a target display any special cell population selectivity characteristics. Bispecific ligands that require both subunits bound to be effective are common in the design of bispecific antibodies. To be specific,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p>
    <w:p>
      <w:pPr>
        <w:pStyle w:val="BodyText"/>
      </w:pPr>
      <w:r>
        <w:t xml:space="preserve">To scrutinize the case where the target binding of both subunits is required, we extended our model to calculate the amount of ligand fully bound. For the heterovalent bispecific case, ligand fully bound will only account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 </w:t>
      </w:r>
      <w:r>
        <w:t xml:space="preserve">e). Besides that ligand fully bound has lower amounts,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e). This concavity of contour lines indicates that for bispecific complexes, ligand fully bound prefers double-positively expressed cells than singly-positively expressed cells. This should be obvious since these two subunits of the bispecific complex prefer different receptors. The results indicate that bispecific ligands will only exhibit special characteristics when it can only be activated fully bound. This characteristic opens up brand new engineering opportunities for targeting specific cell populations.</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(Figure</w:t>
      </w:r>
      <w:r>
        <w:t xml:space="preserve"> </w:t>
      </w:r>
      <w:hyperlink w:anchor="fig:bispecific">
        <w:r>
          <w:rPr>
            <w:rStyle w:val="Hyperlink"/>
          </w:rPr>
          <w:t xml:space="preserve">5</w:t>
        </w:r>
      </w:hyperlink>
      <w:r>
        <w:t xml:space="preserve"> </w:t>
      </w:r>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 </w:t>
      </w:r>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 </w:t>
      </w:r>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 </w:t>
      </w:r>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above provided selectivity benefits in distinct situations, suggesting that they might synergistically improve selectivity when combined. We explored this potential synergy using optimization to determine the optimally cell type selective ligand for our theoretical cell populations. It is often the case that target cell populations express receptors common to a range of adjacent, off-target populations. Thus, we sought to determine the optimal ligand for particular cell populations while considering all other theoretical populations as off-target cells. We set our initial binding selectivity performance metric and optimize it within set bounds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dominant therapeutic design strategies emerge.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them all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Since it lies in the midst of the other populations in receptor expression space (Fig.</w:t>
      </w:r>
      <w:r>
        <w:t xml:space="preserve"> </w:t>
      </w:r>
      <w:hyperlink w:anchor="fig:mixture">
        <w:r>
          <w:rPr>
            <w:rStyle w:val="Hyperlink"/>
          </w:rPr>
          <w:t xml:space="preserve">4</w:t>
        </w:r>
      </w:hyperlink>
      <w:r>
        <w:t xml:space="preserve">m-r),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(Fig.</w:t>
      </w:r>
      <w:r>
        <w:t xml:space="preserve"> </w:t>
      </w:r>
      <w:hyperlink w:anchor="fig:combination">
        <w:r>
          <w:rPr>
            <w:rStyle w:val="Hyperlink"/>
          </w:rPr>
          <w:t xml:space="preserve">6</w:t>
        </w:r>
      </w:hyperlink>
      <w:r>
        <w:t xml:space="preserve">m-r). Therefore, we wondered if binding competition with a receptor antagonist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composition,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were</w:t>
      </w:r>
      <w:r>
        <w:t xml:space="preserve"> </w:t>
      </w:r>
      <m:oMath>
        <m:sSup>
          <m:e>
            <m:r>
              <m:t>10</m:t>
            </m:r>
          </m:e>
          <m:sup>
            <m:r>
              <m:t>−</m:t>
            </m:r>
            <m:r>
              <m:t>15</m:t>
            </m:r>
          </m:sup>
        </m:sSup>
        <m:r>
          <m:t>−</m:t>
        </m:r>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composition, and</w:t>
      </w:r>
      <w:r>
        <w:t xml:space="preserve"> </w:t>
      </w:r>
      <m:oMath>
        <m:sSup>
          <m:e>
            <m:r>
              <m:t>10</m:t>
            </m:r>
          </m:e>
          <m:sup>
            <m:r>
              <m:t>2</m:t>
            </m:r>
          </m:sup>
        </m:sSup>
        <m:r>
          <m:t>−</m:t>
        </m:r>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x</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x</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x</m:t>
        </m:r>
        <m:sSup>
          <m:e>
            <m:r>
              <m:t>10</m:t>
            </m:r>
          </m:e>
          <m:sup>
            <m:r>
              <m:t>−</m:t>
            </m:r>
            <m:r>
              <m:t>12</m:t>
            </m:r>
          </m:sup>
        </m:sSup>
      </m:oMath>
      <w:r>
        <w:t xml:space="preserve">, the association constants for C5 and B22 were found to be</w:t>
      </w:r>
      <w:r>
        <w:t xml:space="preserve"> </w:t>
      </w:r>
      <m:oMath>
        <m:r>
          <m:t>5.78</m:t>
        </m:r>
        <m:r>
          <m:t>x</m:t>
        </m:r>
        <m:sSup>
          <m:e>
            <m:r>
              <m:t>10</m:t>
            </m:r>
          </m:e>
          <m:sup>
            <m:r>
              <m:t>−</m:t>
            </m:r>
            <m:r>
              <m:t>5</m:t>
            </m:r>
          </m:sup>
        </m:sSup>
      </m:oMath>
      <w:r>
        <w:t xml:space="preserve">,</w:t>
      </w:r>
      <w:r>
        <w:t xml:space="preserve"> </w:t>
      </w:r>
      <m:oMath>
        <m:r>
          <m:t>3.08</m:t>
        </m:r>
        <m:r>
          <m:t>x</m:t>
        </m:r>
        <m:sSup>
          <m:e>
            <m:r>
              <m:t>10</m:t>
            </m:r>
          </m:e>
          <m:sup>
            <m:r>
              <m:t>−</m:t>
            </m:r>
            <m:r>
              <m:t>12</m:t>
            </m:r>
          </m:sup>
        </m:sSup>
      </m:oMath>
      <w:r>
        <w:t xml:space="preserve"> </w:t>
      </w:r>
      <w:r>
        <w:t xml:space="preserve">respectively, and ligand to fluorescent conversion factor for C5 and B22 were found to be</w:t>
      </w:r>
      <w:r>
        <w:t xml:space="preserve"> </w:t>
      </w:r>
      <m:oMath>
        <m:r>
          <m:t>5.0</m:t>
        </m:r>
        <m:r>
          <m:t>x</m:t>
        </m:r>
        <m:sSup>
          <m:e>
            <m:r>
              <m:t>10</m:t>
            </m:r>
          </m:e>
          <m:sup>
            <m:r>
              <m:t>−</m:t>
            </m:r>
            <m:r>
              <m:t>2</m:t>
            </m:r>
          </m:sup>
        </m:sSup>
      </m:oMath>
      <w:r>
        <w:t xml:space="preserve"> </w:t>
      </w:r>
      <w:r>
        <w:t xml:space="preserve">and</w:t>
      </w:r>
      <w:r>
        <w:t xml:space="preserve"> </w:t>
      </w:r>
      <m:oMath>
        <m:r>
          <m:t>3.2</m:t>
        </m:r>
        <m:r>
          <m:t>x</m:t>
        </m:r>
        <m:sSup>
          <m:e>
            <m:r>
              <m:t>10</m:t>
            </m:r>
          </m:e>
          <m:sup>
            <m:r>
              <m:t>−</m:t>
            </m:r>
            <m:r>
              <m:t>2</m:t>
            </m:r>
          </m:sup>
        </m:sSup>
      </m:oMath>
      <w:r>
        <w:t xml:space="preserve"> </w:t>
      </w:r>
      <w:r>
        <w:t xml:space="preserve">respectively. b) Predicted fluorescent values for MDA cells expressing</w:t>
      </w:r>
      <w:r>
        <w:t xml:space="preserve"> </w:t>
      </w:r>
      <m:oMath>
        <m:r>
          <m:t>5.2</m:t>
        </m:r>
        <m:r>
          <m:t>x</m:t>
        </m:r>
        <m:sSup>
          <m:e>
            <m:r>
              <m:t>10</m:t>
            </m:r>
          </m:e>
          <m:sup>
            <m:r>
              <m:t>4</m:t>
            </m:r>
          </m:sup>
        </m:sSup>
      </m:oMath>
      <w:r>
        <w:t xml:space="preserve">, SK cells expressing $2.2x</w:t>
      </w:r>
      <m:oMath>
        <m:sSup>
          <m:e>
            <m:r>
              <m:t>10</m:t>
            </m:r>
          </m:e>
          <m:sup>
            <m:r>
              <m:t>5</m:t>
            </m:r>
          </m:sup>
        </m:sSup>
      </m:oMath>
      <w:r>
        <w:t xml:space="preserve">, LNCaP cells expressing</w:t>
      </w:r>
      <w:r>
        <w:t xml:space="preserve"> </w:t>
      </w:r>
      <m:oMath>
        <m:r>
          <m:t>2.8</m:t>
        </m:r>
        <m:r>
          <m:t>x</m:t>
        </m:r>
        <m:sSup>
          <m:e>
            <m:r>
              <m:t>10</m:t>
            </m:r>
          </m:e>
          <m:sup>
            <m:r>
              <m:t>6</m:t>
            </m:r>
          </m:sup>
        </m:sSup>
      </m:oMath>
      <w:r>
        <w:t xml:space="preserve">, and MCF-7 cells expressing</w:t>
      </w:r>
      <w:r>
        <w:t xml:space="preserve"> </w:t>
      </w:r>
      <m:oMath>
        <m:r>
          <m:t>3.8</m:t>
        </m:r>
        <m:r>
          <m:t>x</m:t>
        </m:r>
        <m:sSup>
          <m:e>
            <m:r>
              <m:t>10</m:t>
            </m:r>
          </m:e>
          <m:sup>
            <m:r>
              <m:t>6</m:t>
            </m:r>
          </m:sup>
        </m:sSup>
      </m:oMath>
      <w:r>
        <w:t xml:space="preserve"> </w:t>
      </w:r>
      <w:r>
        <w:t xml:space="preserve">receptors per cell 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x</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x</m:t>
        </m:r>
        <m:sSup>
          <m:e>
            <m:r>
              <m:t>10</m:t>
            </m:r>
          </m:e>
          <m:sup>
            <m:r>
              <m:t>−</m:t>
            </m:r>
            <m:r>
              <m:t>12</m:t>
            </m:r>
          </m:sup>
        </m:sSup>
      </m:oMath>
      <w:r>
        <w:t xml:space="preserve">, the association constants for C5 and B22 were found to be</w:t>
      </w:r>
      <w:r>
        <w:t xml:space="preserve"> </w:t>
      </w:r>
      <m:oMath>
        <m:r>
          <m:t>5.78</m:t>
        </m:r>
        <m:r>
          <m:t>x</m:t>
        </m:r>
        <m:sSup>
          <m:e>
            <m:r>
              <m:t>10</m:t>
            </m:r>
          </m:e>
          <m:sup>
            <m:r>
              <m:t>−</m:t>
            </m:r>
            <m:r>
              <m:t>5</m:t>
            </m:r>
          </m:sup>
        </m:sSup>
      </m:oMath>
      <w:r>
        <w:t xml:space="preserve">,</w:t>
      </w:r>
      <w:r>
        <w:t xml:space="preserve"> </w:t>
      </w:r>
      <m:oMath>
        <m:r>
          <m:t>3.08</m:t>
        </m:r>
        <m:r>
          <m:t>x</m:t>
        </m:r>
        <m:sSup>
          <m:e>
            <m:r>
              <m:t>10</m:t>
            </m:r>
          </m:e>
          <m:sup>
            <m:r>
              <m:t>−</m:t>
            </m:r>
            <m:r>
              <m:t>12</m:t>
            </m:r>
          </m:sup>
        </m:sSup>
      </m:oMath>
      <w:r>
        <w:t xml:space="preserve"> </w:t>
      </w:r>
      <w:r>
        <w:t xml:space="preserve">respectively, and ligand to fluorescent conversion factor for C5 and B22 were found to be</w:t>
      </w:r>
      <w:r>
        <w:t xml:space="preserve"> </w:t>
      </w:r>
      <m:oMath>
        <m:r>
          <m:t>5.0</m:t>
        </m:r>
        <m:r>
          <m:t>x</m:t>
        </m:r>
        <m:sSup>
          <m:e>
            <m:r>
              <m:t>10</m:t>
            </m:r>
          </m:e>
          <m:sup>
            <m:r>
              <m:t>−</m:t>
            </m:r>
            <m:r>
              <m:t>2</m:t>
            </m:r>
          </m:sup>
        </m:sSup>
      </m:oMath>
      <w:r>
        <w:t xml:space="preserve"> </w:t>
      </w:r>
      <w:r>
        <w:t xml:space="preserve">and</w:t>
      </w:r>
      <w:r>
        <w:t xml:space="preserve"> </w:t>
      </w:r>
      <m:oMath>
        <m:r>
          <m:t>3.2</m:t>
        </m:r>
        <m:r>
          <m:t>x</m:t>
        </m:r>
        <m:sSup>
          <m:e>
            <m:r>
              <m:t>10</m:t>
            </m:r>
          </m:e>
          <m:sup>
            <m:r>
              <m:t>−</m:t>
            </m:r>
            <m:r>
              <m:t>2</m:t>
            </m:r>
          </m:sup>
        </m:sSup>
      </m:oMath>
      <w:r>
        <w:t xml:space="preserve"> </w:t>
      </w:r>
      <w:r>
        <w:t xml:space="preserve">respectively. b) Predicted fluorescent values for MDA cells expressing</w:t>
      </w:r>
      <w:r>
        <w:t xml:space="preserve"> </w:t>
      </w:r>
      <m:oMath>
        <m:r>
          <m:t>5.2</m:t>
        </m:r>
        <m:r>
          <m:t>x</m:t>
        </m:r>
        <m:sSup>
          <m:e>
            <m:r>
              <m:t>10</m:t>
            </m:r>
          </m:e>
          <m:sup>
            <m:r>
              <m:t>4</m:t>
            </m:r>
          </m:sup>
        </m:sSup>
      </m:oMath>
      <w:r>
        <w:t xml:space="preserve">, SK cells expressing $2.2x</w:t>
      </w:r>
      <m:oMath>
        <m:sSup>
          <m:e>
            <m:r>
              <m:t>10</m:t>
            </m:r>
          </m:e>
          <m:sup>
            <m:r>
              <m:t>5</m:t>
            </m:r>
          </m:sup>
        </m:sSup>
      </m:oMath>
      <w:r>
        <w:t xml:space="preserve">, LNCaP cells expressing</w:t>
      </w:r>
      <w:r>
        <w:t xml:space="preserve"> </w:t>
      </w:r>
      <m:oMath>
        <m:r>
          <m:t>2.8</m:t>
        </m:r>
        <m:r>
          <m:t>x</m:t>
        </m:r>
        <m:sSup>
          <m:e>
            <m:r>
              <m:t>10</m:t>
            </m:r>
          </m:e>
          <m:sup>
            <m:r>
              <m:t>6</m:t>
            </m:r>
          </m:sup>
        </m:sSup>
      </m:oMath>
      <w:r>
        <w:t xml:space="preserve">, and MCF-7 cells expressing</w:t>
      </w:r>
      <w:r>
        <w:t xml:space="preserve"> </w:t>
      </w:r>
      <m:oMath>
        <m:r>
          <m:t>3.8</m:t>
        </m:r>
        <m:r>
          <m:t>x</m:t>
        </m:r>
        <m:sSup>
          <m:e>
            <m:r>
              <m:t>10</m:t>
            </m:r>
          </m:e>
          <m:sup>
            <m:r>
              <m:t>6</m:t>
            </m:r>
          </m:sup>
        </m:sSup>
      </m:oMath>
      <w:r>
        <w:t xml:space="preserve"> </w:t>
      </w:r>
      <w:r>
        <w:t xml:space="preserve">receptors per cell 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 (San Diego, Calif.)</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Journal of autoimmunity</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Oncology reports</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2020-10-08T20:16:57Z</dcterms:created>
  <dcterms:modified xsi:type="dcterms:W3CDTF">2020-10-08T20:16:57Z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2020-10-08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