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November 30, 2020.</w:t>
      </w:r>
      <w:r>
        <w:t xml:space="preserve"> </w:t>
      </w:r>
    </w:p>
    <w:p>
      <w:pPr>
        <w:pStyle w:val="Heading2"/>
      </w:pPr>
      <w:bookmarkStart w:id="20" w:name="authors"/>
      <w:r>
        <w:t xml:space="preserve">Authors</w:t>
      </w:r>
      <w:bookmarkEnd w:id="20"/>
    </w:p>
    <w:p>
      <w:pPr>
        <w:numPr>
          <w:ilvl w:val="0"/>
          <w:numId w:val="1001"/>
        </w:numPr>
      </w:pPr>
      <w:r>
        <w:rPr>
          <w:b/>
        </w:rPr>
        <w:t xml:space="preserve">Zhixin Cyrillus Tan</w:t>
      </w:r>
      <w:r>
        <w:t xml:space="preserve"> </w:t>
      </w:r>
      <w:r>
        <w:t xml:space="preserve">ORCID</w:t>
      </w:r>
      <w:r>
        <w:t xml:space="preserve"> </w:t>
      </w:r>
      <w:hyperlink r:id="rId21">
        <w:r>
          <w:rPr>
            <w:rStyle w:val="Hyperlink"/>
          </w:rPr>
          <w:t xml:space="preserve">0000-0002-5498-5509</w:t>
        </w:r>
      </w:hyperlink>
      <w:r>
        <w:t xml:space="preserve"> </w:t>
      </w:r>
      <w:r>
        <w:t xml:space="preserve">· Github</w:t>
      </w:r>
      <w:r>
        <w:t xml:space="preserve"> </w:t>
      </w:r>
      <w:hyperlink r:id="rId22">
        <w:r>
          <w:rPr>
            <w:rStyle w:val="Hyperlink"/>
          </w:rPr>
          <w:t xml:space="preserve">cyrillustan</w:t>
        </w:r>
      </w:hyperlink>
      <w:r>
        <w:t xml:space="preserve"> </w:t>
      </w:r>
      <w:r>
        <w:t xml:space="preserve"> </w:t>
      </w:r>
      <w:r>
        <w:t xml:space="preserve">Bioinformatics Interdepartmental Program, University of California, Los Angeles; These authors contributed equally.</w:t>
      </w:r>
      <w:r>
        <w:t xml:space="preserve"> </w:t>
      </w:r>
    </w:p>
    <w:p>
      <w:pPr>
        <w:numPr>
          <w:ilvl w:val="0"/>
          <w:numId w:val="1001"/>
        </w:numPr>
      </w:pPr>
      <w:r>
        <w:rPr>
          <w:b/>
        </w:rPr>
        <w:t xml:space="preserve">Brian Orcutt-Jahns</w:t>
      </w:r>
      <w:r>
        <w:t xml:space="preserve"> </w:t>
      </w:r>
      <w:r>
        <w:t xml:space="preserve">ORCID</w:t>
      </w:r>
      <w:r>
        <w:t xml:space="preserve"> </w:t>
      </w:r>
      <w:hyperlink r:id="rId23">
        <w:r>
          <w:rPr>
            <w:rStyle w:val="Hyperlink"/>
          </w:rPr>
          <w:t xml:space="preserve">0000-0002-1436-1224</w:t>
        </w:r>
      </w:hyperlink>
      <w:r>
        <w:t xml:space="preserve"> </w:t>
      </w:r>
      <w:r>
        <w:t xml:space="preserve">· Github</w:t>
      </w:r>
      <w:r>
        <w:t xml:space="preserve"> </w:t>
      </w:r>
      <w:hyperlink r:id="rId24">
        <w:r>
          <w:rPr>
            <w:rStyle w:val="Hyperlink"/>
          </w:rPr>
          <w:t xml:space="preserve">borcuttjahns</w:t>
        </w:r>
      </w:hyperlink>
      <w:r>
        <w:t xml:space="preserve"> </w:t>
      </w:r>
      <w:r>
        <w:t xml:space="preserve"> </w:t>
      </w:r>
      <w:r>
        <w:t xml:space="preserve">Department of Bioengineering, University of California, Los Angeles; These authors contributed equally.</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these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ignificance-statement"/>
      <w:r>
        <w:t xml:space="preserve">Significance Statement</w:t>
      </w:r>
      <w:bookmarkEnd w:id="29"/>
    </w:p>
    <w:p>
      <w:pPr>
        <w:pStyle w:val="FirstParagraph"/>
      </w:pPr>
      <w:r>
        <w:t xml:space="preserve">Selective binding to specific target cells is a critical property of many therapies. To enhance selectivity in specific situations, a series of new strategies have been proposed in the drug development literature, including affinity, valency, multi-specificity, and other alterations to target cell binding. We have developed a simple and general, multivalent ligand-receptor binding model that can help to direct therapeutic engineering. Using this model, we provide generalized and quantitative analyses of the effectiveness and limitations of each strategy. We also demonstrate that combining strategies can offer enhanced selectivity. This work provides guidance for future therapeutic development.</w:t>
      </w:r>
    </w:p>
    <w:p>
      <w:pPr>
        <w:pStyle w:val="Heading2"/>
      </w:pPr>
      <w:bookmarkStart w:id="30" w:name="introduction"/>
      <w:r>
        <w:t xml:space="preserve">Introduction</w:t>
      </w:r>
      <w:bookmarkEnd w:id="30"/>
    </w:p>
    <w:p>
      <w:pPr>
        <w:pStyle w:val="FirstParagraph"/>
      </w:pPr>
      <w:r>
        <w:t xml:space="preserve">Many drugs both derive their therapeutic benefit and avoid toxicity through selective binding to specific cells within the body. Often, target cells can differ from off-target populations only subtly in surface receptor expression, making selective activation of target cells difficult to achieve. Even with a drug of very specific molecular binding, genetic and non-genetic heterogeneity can create a wide distribution of cell responses. This can result in reduced effectiveness and increased toxicity. Specific cell targeting is a universal challenge in protein-based therapies.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of target cells among heterogeneous cell populations. While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this heterogeneity impedes our effort of creating a highly specific drug. The intricacies of both inter-population receptor expression differences and intra-population receptor expression heterogeneity present significant challenges that limit the selectivity of therapies within the body.</w:t>
      </w:r>
    </w:p>
    <w:p>
      <w:pPr>
        <w:pStyle w:val="BodyText"/>
      </w:pPr>
      <w:r>
        <w:t xml:space="preserve">Further improving cell-specific targeting will require new strategies of engineering specificity. Non-cellular therapies such as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program complex logic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of ligand designs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approaches for engineering cell-specific binding using a multi-valent, multi-receptor, multi-ligand binding model. We show that strategies including affinity, valency, binding competition, ligand mixtures, and hetero-valent complexes provide distinct improvements in cell-specific targeting. Finally, we combine these strategies to target cells through combinatorial methods. In total, our results demonstrate that multi-valent ligands can offer offer effective cell specific targeting without the need to engineer complex cellular therapies, and that their design can be guided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arbitrary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arbitrary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a necessary first step, and essential for a drug’s intended action. In contrast, binding to off-target cells can result in unintended effects or toxicity. Some cell populations can be distinguished by their expression of a unique receptor not expressed by other populations, but more commonly, target and off-target cells express the same collection of receptors and differ only in their magnitudes of receptor expression. In such situations, engineering drugs to optimize target cell binding while minimizing their binding to off-target cells is an area of ongoing research, and has inspired a myriad of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In this work, we define cell population selectivity as the ratio of the number of ligands bound to target cell populations divided by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For the binding between monomer ligands and receptors, their affinity can be described by the association constant</w:t>
      </w:r>
      <w:r>
        <w:t xml:space="preserve"> </w:t>
      </w:r>
      <m:oMath>
        <m:sSub>
          <m:e>
            <m:r>
              <m:t>K</m:t>
            </m:r>
          </m:e>
          <m:sub>
            <m:r>
              <m:t>a</m:t>
            </m:r>
          </m:sub>
        </m:sSub>
      </m:oMath>
      <w:r>
        <w:t xml:space="preserve">, or its reciprocal, the dissociation constant</w:t>
      </w:r>
      <w:r>
        <w:t xml:space="preserve"> </w:t>
      </w:r>
      <m:oMath>
        <m:sSub>
          <m:e>
            <m:r>
              <m:t>K</m:t>
            </m:r>
          </m:e>
          <m:sub>
            <m:r>
              <m:t>d</m:t>
            </m:r>
          </m:sub>
        </m:sSub>
      </m:oMath>
      <w:r>
        <w:t xml:space="preserve">. Binding behavior is more complicated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crosslinking constant,</w:t>
      </w:r>
      <w:r>
        <w:t xml:space="preserve"> </w:t>
      </w:r>
      <m:oMath>
        <m:sSubSup>
          <m:e>
            <m:r>
              <m:t>K</m:t>
            </m:r>
          </m:e>
          <m:sub>
            <m:r>
              <m:t>x</m:t>
            </m:r>
          </m:sub>
          <m:sup>
            <m:r>
              <m:t>*</m:t>
            </m:r>
          </m:sup>
        </m:sSubSup>
      </m:oMath>
      <w:r>
        <w:t xml:space="preserve">, which describes how easily a multivalent ligand bound to a cell monovalently can attain secondary binding. Another consideration that must be made when modeling multivalent binding processes is whether ligand complexes are formed via random assortment of monomers, or whether the monomer composition is uniform across complexes by engineering.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t> </m:t>
        </m:r>
        <m:r>
          <m:rPr>
            <m:sty m:val="p"/>
          </m:rPr>
          <m:t>n</m:t>
        </m:r>
        <m:r>
          <m:rPr>
            <m:sty m:val="p"/>
          </m:rPr>
          <m:t>M</m:t>
        </m:r>
      </m:oMath>
      <w:r>
        <w:t xml:space="preserve">, and its dissociation constants to the two receptors to be</w:t>
      </w:r>
      <w:r>
        <w:t xml:space="preserve"> </w:t>
      </w:r>
      <m:oMath>
        <m:r>
          <m:t>10</m:t>
        </m:r>
        <m:r>
          <m:t> </m:t>
        </m:r>
        <m:r>
          <m:rPr>
            <m:sty m:val="p"/>
          </m:rPr>
          <m:t>μ</m:t>
        </m:r>
        <m:r>
          <m:rPr>
            <m:sty m:val="p"/>
          </m:rPr>
          <m:t>M</m:t>
        </m:r>
      </m:oMath>
      <w:r>
        <w:t xml:space="preserve"> </w:t>
      </w:r>
      <w:r>
        <w:t xml:space="preserve">and</w:t>
      </w:r>
      <w:r>
        <w:t xml:space="preserve"> </w:t>
      </w:r>
      <m:oMath>
        <m:r>
          <m:t>100</m:t>
        </m:r>
        <m:r>
          <m:t> </m:t>
        </m:r>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are separated by multiple contour lines, indicating that cells at point 3 bind more ligands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This situation might correspond to some cues inducing expression of a receptor, such as interferon-induced upregulation of MHC and regulatory T cell upregulation of IL-2R⍺.</w:t>
      </w:r>
      <w:hyperlink w:anchor="ref-11Hb1fNV6">
        <w:r>
          <w:rPr>
            <w:rStyle w:val="Hyperlink"/>
            <w:vertAlign w:val="superscript"/>
          </w:rPr>
          <w:t xml:space="preserve">15</w:t>
        </w:r>
      </w:hyperlink>
      <w:r>
        <w:t xml:space="preserve"> </w:t>
      </w:r>
      <w:r>
        <w:t xml:space="preserve">When the amount of receptor 1 (</w:t>
      </w:r>
      <m:oMath>
        <m:sSub>
          <m:e>
            <m:r>
              <m:t>R</m:t>
            </m:r>
          </m:e>
          <m:sub>
            <m:r>
              <m:t>1</m:t>
            </m:r>
          </m:sub>
        </m:sSub>
      </m:oMath>
      <w:r>
        <w:t xml:space="preserve">) increases on a cell (a point moves rightward, e.g. from 1 to 2), the amount of binding doesn’t increase significantly. On the contrary, a cell with increased expression of</w:t>
      </w:r>
      <w:r>
        <w:t xml:space="preserve"> </w:t>
      </w:r>
      <m:oMath>
        <m:sSub>
          <m:e>
            <m:r>
              <m:t>R</m:t>
            </m:r>
          </m:e>
          <m:sub>
            <m:r>
              <m:t>2</m:t>
            </m:r>
          </m:sub>
        </m:sSub>
      </m:oMath>
      <w:r>
        <w:t xml:space="preserve"> </w:t>
      </w:r>
      <w:r>
        <w:t xml:space="preserve">(moving upward, e.g. from 1 to 3) will bind significantly more ligands. Here, the ligand’s high affinity for</w:t>
      </w:r>
      <w:r>
        <w:t xml:space="preserve"> </w:t>
      </w:r>
      <m:oMath>
        <m:sSub>
          <m:e>
            <m:r>
              <m:t>R</m:t>
            </m:r>
          </m:e>
          <m:sub>
            <m:r>
              <m:t>2</m:t>
            </m:r>
          </m:sub>
        </m:sSub>
      </m:oMath>
      <w:r>
        <w:t xml:space="preserve"> </w:t>
      </w:r>
      <w:r>
        <w:t xml:space="preserve">and relatively low affinity for</w:t>
      </w:r>
      <w:r>
        <w:t xml:space="preserve"> </w:t>
      </w:r>
      <m:oMath>
        <m:sSub>
          <m:e>
            <m:r>
              <m:t>R</m:t>
            </m:r>
          </m:e>
          <m:sub>
            <m:r>
              <m:t>1</m:t>
            </m:r>
          </m:sub>
        </m:sSub>
      </m:oMath>
      <w:r>
        <w:t xml:space="preserve"> </w:t>
      </w:r>
      <w:r>
        <w:t xml:space="preserve">lead to binding varying more strongly with changes to</w:t>
      </w:r>
      <w:r>
        <w:t xml:space="preserve"> </w:t>
      </w:r>
      <m:oMath>
        <m:sSub>
          <m:e>
            <m:r>
              <m:t>R</m:t>
            </m:r>
          </m:e>
          <m:sub>
            <m:r>
              <m:t>2</m:t>
            </m:r>
          </m:sub>
        </m:sSub>
      </m:oMath>
      <w:r>
        <w:t xml:space="preserve"> </w:t>
      </w:r>
      <w:r>
        <w:t xml:space="preserve">expression than</w:t>
      </w:r>
      <w:r>
        <w:t xml:space="preserve"> </w:t>
      </w:r>
      <m:oMath>
        <m:sSub>
          <m:e>
            <m:r>
              <m:t>R</m:t>
            </m:r>
          </m:e>
          <m:sub>
            <m:r>
              <m:t>1</m:t>
            </m:r>
          </m:sub>
        </m:sSub>
      </m:oMath>
      <w:r>
        <w:t xml:space="preserve">.</w:t>
      </w:r>
    </w:p>
    <w:p>
      <w:pPr>
        <w:pStyle w:val="BodyText"/>
      </w:pPr>
      <w:r>
        <w:t xml:space="preserve">To analyze more general cases, we arbitrarily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The receptor expression profile within each cell population can also vary widely. To demonstrate cell-to-cell heterogeneity, we also defined intrapopulation variability of each population arbitrarily.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The intrapopulation variance will be accounted for using sigma point filters.</w:t>
      </w:r>
      <w:hyperlink w:anchor="ref-VKATSjfe">
        <w:r>
          <w:rPr>
            <w:rStyle w:val="Hyperlink"/>
            <w:vertAlign w:val="superscript"/>
          </w:rPr>
          <w:t xml:space="preserve">16</w:t>
        </w:r>
      </w:hyperlink>
      <w:r>
        <w:t xml:space="preserve"> </w:t>
      </w:r>
      <w:r>
        <w:t xml:space="preserve">We will use this binding model to examine how engineering a ligand using various strategies can improve cell-specific targeting. Although we will only consider two receptor and ligand subunit types respectively, the principles we present can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altering the ligand binding affinity as an engineering strategy to enhance its cell population specificity. Here, we showed the binding pattern of monovalent ligands with various affinities ranging from</w:t>
      </w:r>
      <w:r>
        <w:t xml:space="preserve"> </w:t>
      </w:r>
      <m:oMath>
        <m:r>
          <m:t>10</m:t>
        </m:r>
        <m:r>
          <m:t> </m:t>
        </m:r>
        <m:r>
          <m:rPr>
            <m:sty m:val="p"/>
          </m:rPr>
          <m:t>μ</m:t>
        </m:r>
        <m:r>
          <m:rPr>
            <m:sty m:val="p"/>
          </m:rPr>
          <m:t>M</m:t>
        </m:r>
      </m:oMath>
      <w:r>
        <w:t xml:space="preserve"> </w:t>
      </w:r>
      <w:r>
        <w:t xml:space="preserve">to</w:t>
      </w:r>
      <w:r>
        <w:t xml:space="preserve"> </w:t>
      </w:r>
      <m:oMath>
        <m:r>
          <m:t>100</m:t>
        </m:r>
        <m:r>
          <m:t> </m:t>
        </m:r>
        <m:r>
          <m:rPr>
            <m:sty m:val="p"/>
          </m:rPr>
          <m:t>n</m:t>
        </m:r>
        <m:r>
          <m:rPr>
            <m:sty m:val="p"/>
          </m:rPr>
          <m:t>M</m:t>
        </m:r>
      </m:oMath>
      <w:r>
        <w:t xml:space="preserve"> </w:t>
      </w:r>
      <w:r>
        <w:t xml:space="preserve">to both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We found that when a target cell population expresses a receptor not expressed by off-target cell populations, enhancing the affinity of the drug to this receptor is a clear and effective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significantly expresses</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significantly expresses</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ligand affinity to</w:t>
      </w:r>
      <w:r>
        <w:t xml:space="preserve"> </w:t>
      </w:r>
      <m:oMath>
        <m:sSub>
          <m:e>
            <m:r>
              <m:t>R</m:t>
            </m:r>
          </m:e>
          <m:sub>
            <m:r>
              <m:t>1</m:t>
            </m:r>
          </m:sub>
        </m:sSub>
      </m:oMath>
      <w:r>
        <w:t xml:space="preserve"> </w:t>
      </w:r>
      <w:r>
        <w:t xml:space="preserve">increases, which corresponds to shifting from subplots on the left to the ones on the right, binding is shown to vary more strongly according to</w:t>
      </w:r>
      <w:r>
        <w:t xml:space="preserve"> </w:t>
      </w:r>
      <m:oMath>
        <m:sSub>
          <m:e>
            <m:r>
              <m:t>R</m:t>
            </m:r>
          </m:e>
          <m:sub>
            <m:r>
              <m:t>1</m:t>
            </m:r>
          </m:sub>
        </m:sSub>
      </m:oMath>
      <w:r>
        <w:t xml:space="preserve"> </w:t>
      </w:r>
      <w:r>
        <w:t xml:space="preserve">expression,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situations where both on- and off-target cell populations express the same set of receptors and differ only in their magnitude of expression are just as common.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by the relative discrepancy in receptor abundances (Fig.</w:t>
      </w:r>
      <w:r>
        <w:t xml:space="preserve"> </w:t>
      </w:r>
      <w:hyperlink w:anchor="fig:affinity">
        <w:r>
          <w:rPr>
            <w:rStyle w:val="Hyperlink"/>
          </w:rPr>
          <w:t xml:space="preserve">2</w:t>
        </w:r>
      </w:hyperlink>
      <w:r>
        <w:t xml:space="preserve">c,d). Since the ratios of receptor expressions between</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are significantly lower than those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the greatest binding selectivity that can be achieved for these two populations is also significantly lower.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fails to modulate binding selectivity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 as compared to off-target populations.</w:t>
      </w:r>
    </w:p>
    <w:p>
      <w:pPr>
        <w:pStyle w:val="BodyText"/>
      </w:pPr>
      <w:r>
        <w:t xml:space="preserve">Our binding contour plots are also useful for considering the interplay between affinity modulation and intrapopulation receptor expression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as shown in the subplots in the upper left corner and bottom right corner of Fig.</w:t>
      </w:r>
      <w:r>
        <w:t xml:space="preserve"> </w:t>
      </w:r>
      <w:hyperlink w:anchor="fig:affinity">
        <w:r>
          <w:rPr>
            <w:rStyle w:val="Hyperlink"/>
          </w:rPr>
          <w:t xml:space="preserve">2</w:t>
        </w:r>
      </w:hyperlink>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Thus, a population’s receptor expression heterogeneity and variation are important factors to consider when modulating ligand affinity.</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Our previous work has shown that this binding model can accurately predict the multivalent binding between IgG antibodies and Fcγ receptors.</w:t>
      </w:r>
      <w:hyperlink w:anchor="ref-11gk5tUo7">
        <w:r>
          <w:rPr>
            <w:rStyle w:val="Hyperlink"/>
            <w:vertAlign w:val="superscript"/>
          </w:rPr>
          <w:t xml:space="preserve">17</w:t>
        </w:r>
      </w:hyperlink>
      <w:r>
        <w:t xml:space="preserve"> </w:t>
      </w:r>
      <w:r>
        <w:t xml:space="preserve">To further demonstrate our model’s capacity to predict multivalent binding activity, we fit our model to a set of published experimental measurements wherein fluorescently labeled nanorings were assembled with specific numbers of binding units.</w:t>
      </w:r>
      <w:hyperlink w:anchor="ref-u2Cb0DBq">
        <w:r>
          <w:rPr>
            <w:rStyle w:val="Hyperlink"/>
            <w:vertAlign w:val="superscript"/>
          </w:rPr>
          <w:t xml:space="preserve">18</w:t>
        </w:r>
      </w:hyperlink>
      <w:r>
        <w:t xml:space="preserve"> </w:t>
      </w:r>
      <w:r>
        <w:t xml:space="preserve">After fitting to determine the crosslinking coefficient of multivalent nanorings (</w:t>
      </w:r>
      <m:oMath>
        <m:sSubSup>
          <m:e>
            <m:r>
              <m:t>K</m:t>
            </m:r>
          </m:e>
          <m:sub>
            <m:r>
              <m:t>x</m:t>
            </m:r>
          </m:sub>
          <m:sup>
            <m:r>
              <m:t>*</m:t>
            </m:r>
          </m:sup>
        </m:sSubSup>
      </m:oMath>
      <w:r>
        <w:t xml:space="preserve">) and receptor affinity values (</w:t>
      </w:r>
      <m:oMath>
        <m:sSub>
          <m:e>
            <m:r>
              <m:t>K</m:t>
            </m:r>
          </m:e>
          <m:sub>
            <m:r>
              <m:t>a</m:t>
            </m:r>
          </m:sub>
        </m:sSub>
      </m:oMath>
      <w:r>
        <w:t xml:space="preserve">), our model was able to accurately match the binding of nanorings with four or eight subunits to cells expressing a known abundance of receptor partners (Fig. S1a).</w:t>
      </w:r>
    </w:p>
    <w:p>
      <w:pPr>
        <w:pStyle w:val="BodyText"/>
      </w:pPr>
      <w:r>
        <w:t xml:space="preserve">Multivalent ligand binding differs from monovalent binding in its nonlinear relationship with receptor density, allowing multivalent ligands to potentially selectively target cells based on receptor abundance.</w:t>
      </w:r>
      <w:hyperlink w:anchor="ref-IanZRiFA">
        <w:r>
          <w:rPr>
            <w:rStyle w:val="Hyperlink"/>
            <w:vertAlign w:val="superscript"/>
          </w:rPr>
          <w:t xml:space="preserve">19</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 Here, the ligand only binds to receptor</w:t>
      </w:r>
      <w:r>
        <w:t xml:space="preserve"> </w:t>
      </w:r>
      <m:oMath>
        <m:sSub>
          <m:e>
            <m:r>
              <m:t>R</m:t>
            </m:r>
          </m:e>
          <m:sub>
            <m:r>
              <m:t>1</m:t>
            </m:r>
          </m:sub>
        </m:sSub>
      </m:oMath>
      <w:r>
        <w:t xml:space="preserve">, not receptor</w:t>
      </w:r>
      <w:r>
        <w:t xml:space="preserve"> </w:t>
      </w:r>
      <m:oMath>
        <m:sSub>
          <m:e>
            <m:r>
              <m:t>R</m:t>
            </m:r>
          </m:e>
          <m:sub>
            <m:r>
              <m:t>2</m:t>
            </m:r>
          </m:sub>
        </m:sSub>
      </m:oMath>
      <w:r>
        <w:t xml:space="preserve">, and the valency of the ligand is varied across subplots. Varying ligand valency results in a nonlinear relationship between receptor abundance and binding magnitude. For example, in the monovalent case, there are roughly the same amount of contour lines between</w:t>
      </w:r>
      <w:r>
        <w:t xml:space="preserve"> </w:t>
      </w:r>
      <m:oMath>
        <m:sSubSup>
          <m:e>
            <m:r>
              <m:t>R</m:t>
            </m:r>
          </m:e>
          <m:sub>
            <m:r>
              <m:t>1</m:t>
            </m:r>
          </m:sub>
          <m:sup>
            <m:r>
              <m:t>l</m:t>
            </m:r>
            <m:r>
              <m:t>o</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as there are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However, in the tetravalent case, there are comparatively more contour lines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indicating that ligand bound is a nonlinear function of receptor expression when considering multivalent binding (Fig.</w:t>
      </w:r>
      <w:r>
        <w:t xml:space="preserve"> </w:t>
      </w:r>
      <w:hyperlink w:anchor="fig:valency">
        <w:r>
          <w:rPr>
            <w:rStyle w:val="Hyperlink"/>
          </w:rPr>
          <w:t xml:space="preserve">3</w:t>
        </w:r>
      </w:hyperlink>
      <w:r>
        <w:t xml:space="preserve">a).</w:t>
      </w:r>
    </w:p>
    <w:p>
      <w:pPr>
        <w:pStyle w:val="BodyText"/>
      </w:pPr>
      <w:r>
        <w:t xml:space="preserve">Selectivity derived by changing valency requires coordinate changes in affinity. As many previous studies have suggested, multi-valent ligands can demonstrate particular selectivity to target populations with high receptor abundances when their subunits have low affinity to the receptors.</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18</w:t>
        </w:r>
      </w:hyperlink>
      <w:r>
        <w:t xml:space="preserve"> </w:t>
      </w:r>
      <w:r>
        <w:t xml:space="preserve">Comparing binding between cell populations exposed to ligands of variable affinities over a range of ligand valency demonstrates the interplay between these factors (Fig.</w:t>
      </w:r>
      <w:r>
        <w:t xml:space="preserve"> </w:t>
      </w:r>
      <w:hyperlink w:anchor="fig:valency">
        <w:r>
          <w:rPr>
            <w:rStyle w:val="Hyperlink"/>
          </w:rPr>
          <w:t xml:space="preserve">3</w:t>
        </w:r>
      </w:hyperlink>
      <w:r>
        <w:t xml:space="preserve">b-d). Here, the ligand binding ratios between cell populations are shown for ligands of high, medium, and low affinities for</w:t>
      </w:r>
      <w:r>
        <w:t xml:space="preserve"> </w:t>
      </w:r>
      <m:oMath>
        <m:sSub>
          <m:e>
            <m:r>
              <m:t>R</m:t>
            </m:r>
          </m:e>
          <m:sub>
            <m:r>
              <m:t>1</m:t>
            </m:r>
          </m:sub>
        </m:sSub>
      </m:oMath>
      <w:r>
        <w:t xml:space="preserve"> </w:t>
      </w:r>
      <w:r>
        <w:t xml:space="preserve">(</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and the shaded areas indicate the variance caused by intrapopulation heterogeneity, determined by sigma point filters.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For any specific multivalent ligand at equilibrium, it may bind to any number of receptors up to its valency, which we will refer to as its binding degree. Our model allowed us to identify the mechanism of valency-mediated receptor abundance selectivity by examining the distribution of ligands bound at each degree to different cells for octavalent ligands (valency = 8). A cell expressing</w:t>
      </w:r>
      <w:r>
        <w:t xml:space="preserve"> </w:t>
      </w:r>
      <m:oMath>
        <m:sSup>
          <m:e>
            <m:r>
              <m:t>10</m:t>
            </m:r>
          </m:e>
          <m:sup>
            <m:r>
              <m:t>4</m:t>
            </m:r>
          </m:sup>
        </m:sSup>
      </m:oMath>
      <w:r>
        <w:t xml:space="preserve"> </w:t>
      </w:r>
      <w:r>
        <w:t xml:space="preserve">receptors displays similar amounts of binding at each degree for ligands with dissociation constants of</w:t>
      </w:r>
      <w:r>
        <w:t xml:space="preserve"> </w:t>
      </w:r>
      <m:oMath>
        <m:r>
          <m:t>1000</m:t>
        </m:r>
      </m:oMath>
      <w:r>
        <w:t xml:space="preserve">,</w:t>
      </w:r>
      <w:r>
        <w:t xml:space="preserve"> </w:t>
      </w:r>
      <m:oMath>
        <m:r>
          <m:t>100</m:t>
        </m:r>
      </m:oMath>
      <w:r>
        <w:t xml:space="preserve">, and</w:t>
      </w:r>
      <w:r>
        <w:t xml:space="preserve"> </w:t>
      </w:r>
      <m:oMath>
        <m:r>
          <m:t>10</m:t>
        </m:r>
        <m:r>
          <m:t> </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higher-degree binding for ligand complexes of low binding affinity (Fig.</w:t>
      </w:r>
      <w:r>
        <w:t xml:space="preserve"> </w:t>
      </w:r>
      <w:hyperlink w:anchor="fig:valency">
        <w:r>
          <w:rPr>
            <w:rStyle w:val="Hyperlink"/>
          </w:rPr>
          <w:t xml:space="preserve">3</w:t>
        </w:r>
      </w:hyperlink>
      <w:r>
        <w:t xml:space="preserve">f). This effect arises due to the ligand’s rate of dissociation being larger than its multivalent binding association rate at low receptor abundances (Fig.</w:t>
      </w:r>
      <w:r>
        <w:t xml:space="preserve"> </w:t>
      </w:r>
      <w:hyperlink w:anchor="fig:valency">
        <w:r>
          <w:rPr>
            <w:rStyle w:val="Hyperlink"/>
          </w:rPr>
          <w:t xml:space="preserve">3</w:t>
        </w:r>
      </w:hyperlink>
      <w:r>
        <w:t xml:space="preserve">g). Multivalent ligands undergo initial binding events at rates unaffected by steric effects and changes in local concentration, but low affinity and receptor density severely limit the possibility of secondary binding events. In contrast, cells with a higher abundance of receptors accumulate ligand bound by having them bind multivalently, as the forward rate of secondary binding events is greater than that of receptor-ligand disassociation (Fig.</w:t>
      </w:r>
      <w:r>
        <w:t xml:space="preserve"> </w:t>
      </w:r>
      <w:hyperlink w:anchor="fig:valency">
        <w:r>
          <w:rPr>
            <w:rStyle w:val="Hyperlink"/>
          </w:rPr>
          <w:t xml:space="preserve">3</w:t>
        </w:r>
      </w:hyperlink>
      <w:r>
        <w:t xml:space="preserve">f). This effect allows multivalent ligands to achieve selective binding to cells based on their receptor abundances, which monovalent ligands, even with engineered affinities, are unable to do.</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t> </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t> </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The shaded areas indicate the variance of binding ratios caused by the intrapopulation heterogeneity and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t> </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t> </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t> </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The shaded areas indicate the variance of binding ratios caused by the intrapopulation heterogeneity and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t> </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20</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21</w:t>
        </w:r>
      </w:hyperlink>
      <w:r>
        <w:t xml:space="preserve"> </w:t>
      </w:r>
      <w:r>
        <w:t xml:space="preserve">Therefore, it is important to understand how mixtures of complexes influence overall response.</w:t>
      </w:r>
    </w:p>
    <w:p>
      <w:pPr>
        <w:pStyle w:val="BodyText"/>
      </w:pPr>
      <w:r>
        <w:t xml:space="preserve">To evaluate the contribution of mixtures, we evaluated model-predicted binding while varying the composition between two distinct monovalent ligands, each exhibiting preferential binding to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between two populations varies monotonically with the composition, so any mixture combination is no better than using the more specific ligand entirely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11gk5tUo7">
        <w:r>
          <w:rPr>
            <w:rStyle w:val="Hyperlink"/>
            <w:vertAlign w:val="superscript"/>
          </w:rPr>
          <w:t xml:space="preserve">17</w:t>
        </w:r>
      </w:hyperlink>
      <w:r>
        <w:rPr>
          <w:vertAlign w:val="superscript"/>
        </w:rPr>
        <w:t xml:space="preserve">,</w:t>
      </w:r>
      <w:hyperlink w:anchor="ref-8lU1hNlA">
        <w:r>
          <w:rPr>
            <w:rStyle w:val="Hyperlink"/>
            <w:vertAlign w:val="superscript"/>
          </w:rPr>
          <w:t xml:space="preserve">22</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t> </m:t>
        </m:r>
        <m:r>
          <m:rPr>
            <m:sty m:val="p"/>
          </m:rPr>
          <m:t>μ</m:t>
        </m:r>
        <m:r>
          <m:rPr>
            <m:sty m:val="p"/>
          </m:rPr>
          <m:t>M</m:t>
        </m:r>
      </m:oMath>
      <w:r>
        <w:t xml:space="preserve"> </w:t>
      </w:r>
      <w:r>
        <w:t xml:space="preserve">and</w:t>
      </w:r>
      <w:r>
        <w:t xml:space="preserve"> </w:t>
      </w:r>
      <m:oMath>
        <m:r>
          <m:t>10</m:t>
        </m:r>
        <m:r>
          <m:t> </m:t>
        </m:r>
        <m:r>
          <m:rPr>
            <m:sty m:val="p"/>
          </m:rPr>
          <m:t>μ</m:t>
        </m:r>
        <m:r>
          <m:rPr>
            <m:sty m:val="p"/>
          </m:rPr>
          <m:t>M</m:t>
        </m:r>
      </m:oMath>
      <w:r>
        <w:t xml:space="preserve"> </w:t>
      </w:r>
      <w:r>
        <w:t xml:space="preserve">respectively, and ligand 2 binding to receptors 1 and 2 with dissociation constants of</w:t>
      </w:r>
      <w:r>
        <w:t xml:space="preserve"> </w:t>
      </w:r>
      <m:oMath>
        <m:r>
          <m:t>10</m:t>
        </m:r>
        <m:r>
          <m:t> </m:t>
        </m:r>
        <m:r>
          <m:rPr>
            <m:sty m:val="p"/>
          </m:rPr>
          <m:t>μ</m:t>
        </m:r>
        <m:r>
          <m:rPr>
            <m:sty m:val="p"/>
          </m:rPr>
          <m:t>M</m:t>
        </m:r>
      </m:oMath>
      <w:r>
        <w:t xml:space="preserve"> </w:t>
      </w:r>
      <w:r>
        <w:t xml:space="preserve">and</w:t>
      </w:r>
      <w:r>
        <w:t xml:space="preserve"> </w:t>
      </w:r>
      <m:oMath>
        <m:r>
          <m:t>1</m:t>
        </m:r>
        <m:r>
          <m:t> </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t> </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b,c) Ratio of ligand bound to cell populations exposed to monovalent mixtures of ligand 1 and 2. The ratio of the target population to the single off target population with the greatest ligand bound is plotted. The shaded areas indicate the variance caused by intrapopulation heterogeneity,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t> </m:t>
        </m:r>
        <m:r>
          <m:rPr>
            <m:sty m:val="p"/>
          </m:rPr>
          <m:t>μ</m:t>
        </m:r>
        <m:r>
          <m:rPr>
            <m:sty m:val="p"/>
          </m:rPr>
          <m:t>M</m:t>
        </m:r>
      </m:oMath>
      <w:r>
        <w:t xml:space="preserve"> </w:t>
      </w:r>
      <w:r>
        <w:t xml:space="preserve">and</w:t>
      </w:r>
      <w:r>
        <w:t xml:space="preserve"> </w:t>
      </w:r>
      <m:oMath>
        <m:r>
          <m:t>10</m:t>
        </m:r>
        <m:r>
          <m:t> </m:t>
        </m:r>
        <m:r>
          <m:rPr>
            <m:sty m:val="p"/>
          </m:rPr>
          <m:t>μ</m:t>
        </m:r>
        <m:r>
          <m:rPr>
            <m:sty m:val="p"/>
          </m:rPr>
          <m:t>M</m:t>
        </m:r>
      </m:oMath>
      <w:r>
        <w:t xml:space="preserve"> </w:t>
      </w:r>
      <w:r>
        <w:t xml:space="preserve">respectively, and ligand 2 binding to receptors 1 and 2 with dissociation constants of</w:t>
      </w:r>
      <w:r>
        <w:t xml:space="preserve"> </w:t>
      </w:r>
      <m:oMath>
        <m:r>
          <m:t>10</m:t>
        </m:r>
        <m:r>
          <m:t> </m:t>
        </m:r>
        <m:r>
          <m:rPr>
            <m:sty m:val="p"/>
          </m:rPr>
          <m:t>μ</m:t>
        </m:r>
        <m:r>
          <m:rPr>
            <m:sty m:val="p"/>
          </m:rPr>
          <m:t>M</m:t>
        </m:r>
      </m:oMath>
      <w:r>
        <w:t xml:space="preserve"> </w:t>
      </w:r>
      <w:r>
        <w:t xml:space="preserve">and</w:t>
      </w:r>
      <w:r>
        <w:t xml:space="preserve"> </w:t>
      </w:r>
      <m:oMath>
        <m:r>
          <m:t>1</m:t>
        </m:r>
        <m:r>
          <m:t> </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t> </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b,c) Ratio of ligand bound to cell populations exposed to monovalent mixtures of ligand 1 and 2. The ratio of the target population to the single off target population with the greatest ligand bound is plotted. The shaded areas indicate the variance caused by intrapopulation heterogeneity,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drugs has become a promising new strategy for finer target cell specificity with the advancement of engineering techniques.</w:t>
      </w:r>
      <w:hyperlink w:anchor="ref-iG3t9Py2">
        <w:r>
          <w:rPr>
            <w:rStyle w:val="Hyperlink"/>
            <w:vertAlign w:val="superscript"/>
          </w:rPr>
          <w:t xml:space="preserve">23</w:t>
        </w:r>
      </w:hyperlink>
      <w:r>
        <w:t xml:space="preserve"> </w:t>
      </w:r>
      <w:r>
        <w:t xml:space="preserve">However, the number of possible configurations of multispecific drugs is combinatorially large and impossible to enumerate. Here, we use heterovalent bispecific ligands as examples to explore the unique benefit of multispecificity distinct from any strategy analyzed before. Here, we compare bispecificity with a 50%-50% mixture of two monovalent ligands, and a 50%-50% mixture of two different homogeneous bivalent ligands (Fig.</w:t>
      </w:r>
      <w:r>
        <w:t xml:space="preserve"> </w:t>
      </w:r>
      <w:hyperlink w:anchor="fig:bispecific">
        <w:r>
          <w:rPr>
            <w:rStyle w:val="Hyperlink"/>
          </w:rPr>
          <w:t xml:space="preserve">5</w:t>
        </w:r>
      </w:hyperlink>
      <w:r>
        <w:t xml:space="preserve">i).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unique advantages afforded by heterovalent ligands.</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a), a 50%-50% mixture of two monomers (Fig.</w:t>
      </w:r>
      <w:r>
        <w:t xml:space="preserve"> </w:t>
      </w:r>
      <w:hyperlink w:anchor="fig:bispecific">
        <w:r>
          <w:rPr>
            <w:rStyle w:val="Hyperlink"/>
          </w:rPr>
          <w:t xml:space="preserve">5</w:t>
        </w:r>
      </w:hyperlink>
      <w:r>
        <w:t xml:space="preserve">b), and a 50%-50% mixture of two different homogeneous bivalents (Fig.</w:t>
      </w:r>
      <w:r>
        <w:t xml:space="preserve"> </w:t>
      </w:r>
      <w:hyperlink w:anchor="fig:bispecific">
        <w:r>
          <w:rPr>
            <w:rStyle w:val="Hyperlink"/>
          </w:rPr>
          <w:t xml:space="preserve">5</w:t>
        </w:r>
      </w:hyperlink>
      <w:r>
        <w:t xml:space="preserve">c), with the same set of parameters in ligand concentration and affinities. Surprisingly, the patterns of ligand binding in these three cases are almost exactly the same, and bispecificity appeared to offer no unique properties. However, many bispecifics only impart their therapeutic action when both of their subunits bind to a target population. For example, in the design of bispecific antibodies, it is common to require both subunits bound to be effective.</w:t>
      </w:r>
      <w:hyperlink w:anchor="ref-18yoQOgm4">
        <w:r>
          <w:rPr>
            <w:rStyle w:val="Hyperlink"/>
            <w:vertAlign w:val="superscript"/>
          </w:rPr>
          <w:t xml:space="preserve">24</w:t>
        </w:r>
      </w:hyperlink>
      <w:r>
        <w:rPr>
          <w:vertAlign w:val="superscript"/>
        </w:rPr>
        <w:t xml:space="preserve">,</w:t>
      </w:r>
      <w:hyperlink w:anchor="ref-y7JtEfom">
        <w:r>
          <w:rPr>
            <w:rStyle w:val="Hyperlink"/>
            <w:vertAlign w:val="superscript"/>
          </w:rPr>
          <w:t xml:space="preserve">25</w:t>
        </w:r>
      </w:hyperlink>
      <w:r>
        <w:t xml:space="preserve"> </w:t>
      </w:r>
      <w:r>
        <w:t xml:space="preserve">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 We investigated whether bispecific ligands that have to be activated with both of their subunits binding to a target display any special cell population selectivity characteristics.</w:t>
      </w:r>
    </w:p>
    <w:p>
      <w:pPr>
        <w:pStyle w:val="BodyText"/>
      </w:pPr>
      <w:r>
        <w:t xml:space="preserve">To scrutinize the case for bispecific ligands where the target binding of both subunits is required, we extended our model to calculate the amount of ligand fully bound (Fig.</w:t>
      </w:r>
      <w:r>
        <w:t xml:space="preserve"> </w:t>
      </w:r>
      <w:hyperlink w:anchor="fig:bispecific">
        <w:r>
          <w:rPr>
            <w:rStyle w:val="Hyperlink"/>
          </w:rPr>
          <w:t xml:space="preserve">5</w:t>
        </w:r>
      </w:hyperlink>
      <w:r>
        <w:t xml:space="preserve">i). For the heterovalent bispecific case, ligand fully bound will only account for the amount of ligand with both of their ligand monomers bound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e). The contour plot of fully bound bispecific ligands has more convex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e). This convexity of contour lines indicates that for bispecific complexes, double-positive cells bind more ligands fully than cells only strongly expressing one type of receptors. This should be obvious since these two subunits of the bispecific complex prefer different receptors. The results indicate that bispecific ligands will only exhibit special characteristics when it requires both receptor binding subunits to bind a receptor.</w:t>
      </w:r>
    </w:p>
    <w:p>
      <w:pPr>
        <w:pStyle w:val="BodyText"/>
      </w:pPr>
      <w:r>
        <w:t xml:space="preserve">The specific amount of fully bound ligands is dependent on the ligand’s propensity for crosslinking captured by the constant</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i). Typically in biochemistry, when there is less steric hindrance among the subunits of a multivalent drug molecule (e.g. longer tether and smaller subunit size), or when there is local receptor clustering on the target cell, secondary binding will be easier to achieve, corresponding to larger</w:t>
      </w:r>
      <w:r>
        <w:t xml:space="preserve"> </w:t>
      </w:r>
      <m:oMath>
        <m:sSubSup>
          <m:e>
            <m:r>
              <m:t>K</m:t>
            </m:r>
          </m:e>
          <m:sub>
            <m:r>
              <m:t>x</m:t>
            </m:r>
          </m:sub>
          <m:sup>
            <m:r>
              <m:t>*</m:t>
            </m:r>
          </m:sup>
        </m:sSubSup>
      </m:oMath>
      <w:r>
        <w:t xml:space="preserve">.</w:t>
      </w:r>
      <w:hyperlink w:anchor="ref-uVvF8Fgs">
        <w:r>
          <w:rPr>
            <w:rStyle w:val="Hyperlink"/>
            <w:vertAlign w:val="superscript"/>
          </w:rPr>
          <w:t xml:space="preserve">26</w:t>
        </w:r>
      </w:hyperlink>
      <w:r>
        <w:t xml:space="preserve"> </w:t>
      </w:r>
      <w:r>
        <w:t xml:space="preserve">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hyperlink w:anchor="fig:bispecific">
        <w:r>
          <w:rPr>
            <w:rStyle w:val="Hyperlink"/>
          </w:rPr>
          <w:t xml:space="preserve">5</w:t>
        </w:r>
      </w:hyperlink>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compared the selectivities between some chosen target-to-off-target cell population pairs under bispecific drug versus another drug given a range of</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g,h). These plotted numbers are the selectivities imparted by a bispecific drug divided by the selectivities from a drug mixture of either monovalent (Fig.</w:t>
      </w:r>
      <w:r>
        <w:t xml:space="preserve"> </w:t>
      </w:r>
      <w:hyperlink w:anchor="fig:bispecific">
        <w:r>
          <w:rPr>
            <w:rStyle w:val="Hyperlink"/>
          </w:rPr>
          <w:t xml:space="preserve">5</w:t>
        </w:r>
      </w:hyperlink>
      <w:r>
        <w:t xml:space="preserve">g) or homogeneous bivalent (Fig.</w:t>
      </w:r>
      <w:r>
        <w:t xml:space="preserve"> </w:t>
      </w:r>
      <w:hyperlink w:anchor="fig:bispecific">
        <w:r>
          <w:rPr>
            <w:rStyle w:val="Hyperlink"/>
          </w:rPr>
          <w:t xml:space="preserve">5</w:t>
        </w:r>
      </w:hyperlink>
      <w:r>
        <w:t xml:space="preserve">h). When these quotients are larger, it implies that fully bound bispecific ligand has greater advantages than its counterpart to impart selective binding for the chosen target cell populations. Figure</w:t>
      </w:r>
      <w:r>
        <w:t xml:space="preserve"> </w:t>
      </w:r>
      <w:hyperlink w:anchor="fig:bispecific">
        <w:r>
          <w:rPr>
            <w:rStyle w:val="Hyperlink"/>
          </w:rPr>
          <w:t xml:space="preserve">5</w:t>
        </w:r>
      </w:hyperlink>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we only account for fully bound ligand for both therapeutics, the effect demonstrated in Figure</w:t>
      </w:r>
      <w:r>
        <w:t xml:space="preserve"> </w:t>
      </w:r>
      <w:hyperlink w:anchor="fig:bispecific">
        <w:r>
          <w:rPr>
            <w:rStyle w:val="Hyperlink"/>
          </w:rPr>
          <w:t xml:space="preserve">5</w:t>
        </w:r>
      </w:hyperlink>
      <w:r>
        <w:t xml:space="preserve">g no longer holds. Together, we showed that bispecific ligands only exhibit unique advantages in inducing selective binding when they are only effective when both of their subunits bind and crosslinking is more difficult.</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Comparing bispecific selectivities with mixture selectivities, varies with</w:t>
      </w:r>
      <w:r>
        <w:t xml:space="preserve"> </w:t>
      </w:r>
      <m:oMath>
        <m:sSubSup>
          <m:e>
            <m:r>
              <m:t>K</m:t>
            </m:r>
          </m:e>
          <m:sub>
            <m:r>
              <m:t>x</m:t>
            </m:r>
          </m:sub>
          <m:sup>
            <m:r>
              <m:t>*</m:t>
            </m:r>
          </m:sup>
        </m:sSubSup>
      </m:oMath>
      <w:r>
        <w:t xml:space="preserve">, the crosslinking constant. When the ratios are larger, bispecific ligands bind to target populations more specifically. g) bispecific selectivities divided by monovalent 50%-50% mixture selectivities, h) bispecific selectivities divided by a 50%-50% homo-bivalent mixture selectivities. i) Cartoons of bispecific ligands and ligand fully bound binding model.</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Comparing bispecific selectivities with mixture selectivities, varies with</w:t>
      </w:r>
      <w:r>
        <w:t xml:space="preserve"> </w:t>
      </w:r>
      <m:oMath>
        <m:sSubSup>
          <m:e>
            <m:r>
              <m:t>K</m:t>
            </m:r>
          </m:e>
          <m:sub>
            <m:r>
              <m:t>x</m:t>
            </m:r>
          </m:sub>
          <m:sup>
            <m:r>
              <m:t>*</m:t>
            </m:r>
          </m:sup>
        </m:sSubSup>
      </m:oMath>
      <w:r>
        <w:t xml:space="preserve">, the crosslinking constant. When the ratios are larger, bispecific ligands bind to target populations more specifically. g) bispecific selectivities divided by monovalent 50%-50% mixture selectivities, h) bispecific selectivities divided by a 50%-50% homo-bivalent mixture selectivities. i) Cartoons of bispecific ligands and ligand fully bound binding model.</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described above provided selectivity benefits in distinct situations, suggesting that they might synergistically improve selectivity when combined. We explored this potential synergy using optimization to determine the ligand specifications which provided optimal selectivity for our theoretical cell populations. More specifically, we optimized the selectivity of a ligand for a particular population, while considering all other populations to be off-target. Our optimization allowed ligand characteristics to vary within biologically plausible bounds; which characteristics we allowed to vary defined our examination of the efficacy of our various ligand engineering strategies. We examined optimizing affinity alone, mixture along with affinity, and valency along with affinity, and finally combined all three strategies (Fig.</w:t>
      </w:r>
      <w:r>
        <w:t xml:space="preserve"> </w:t>
      </w:r>
      <w:hyperlink w:anchor="fig:combination">
        <w:r>
          <w:rPr>
            <w:rStyle w:val="Hyperlink"/>
          </w:rPr>
          <w:t xml:space="preserve">6</w:t>
        </w:r>
      </w:hyperlink>
      <w:r>
        <w:t xml:space="preserve">).</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affinity imparts greater specificity, and optimal selectivity is achieved by combining affinity and valency modulations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(Fig.</w:t>
      </w:r>
      <w:r>
        <w:t xml:space="preserve"> </w:t>
      </w:r>
      <w:hyperlink w:anchor="fig:combination">
        <w:r>
          <w:rPr>
            <w:rStyle w:val="Hyperlink"/>
          </w:rPr>
          <w:t xml:space="preserve">6</w:t>
        </w:r>
      </w:hyperlink>
      <w:r>
        <w:t xml:space="preserve">g-l). While affinity engineering is unable to impart some small contributions to enhanced selectivity, significant improvement is only achieved when utilizing valency modulation techniques.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mixture">
        <w:r>
          <w:rPr>
            <w:rStyle w:val="Hyperlink"/>
          </w:rPr>
          <w:t xml:space="preserve">4</w:t>
        </w:r>
      </w:hyperlink>
      <w:r>
        <w:t xml:space="preserve">m-r). Since it lies in the midst of the other populations in receptor expression space, any modulation of affinity, valency or combining it with mixture-based strategies seems ineffective. It should be noted that in all described cases, engineering the composition of a mixture of ligands is generaly ineffective for imparting selectivity when the ligand’s design specifications are flexible, and is likely only efficacious when using ligands with static properties and considering multiple off-target populations.</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25</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(ligand bound on target population divided by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Xo ligands are monovalent ligands with affinities of</w:t>
      </w:r>
      <w:r>
        <w:t xml:space="preserve"> </w:t>
      </w:r>
      <m:oMath>
        <m:r>
          <m:t>1</m:t>
        </m:r>
        <m:r>
          <m:t> </m:t>
        </m:r>
        <m:r>
          <m:rPr>
            <m:sty m:val="p"/>
          </m:rPr>
          <m:t>μ</m:t>
        </m:r>
        <m:r>
          <m:rPr>
            <m:sty m:val="p"/>
          </m:rPr>
          <m:t>M</m:t>
        </m:r>
      </m:oMath>
      <w:r>
        <w:t xml:space="preserve"> </w:t>
      </w:r>
      <w:r>
        <w:t xml:space="preserve">for both receptor 1 and 2. The dissociation constant was allowed to vary between</w:t>
      </w:r>
      <w:r>
        <w:t xml:space="preserve"> </w:t>
      </w:r>
      <m:oMath>
        <m:r>
          <m:t>10</m:t>
        </m:r>
        <m:r>
          <m:t> </m:t>
        </m:r>
        <m:r>
          <m:rPr>
            <m:sty m:val="p"/>
          </m:rPr>
          <m:t>m</m:t>
        </m:r>
        <m:r>
          <m:rPr>
            <m:sty m:val="p"/>
          </m:rPr>
          <m:t>M</m:t>
        </m:r>
      </m:oMath>
      <w:r>
        <w:t xml:space="preserve"> </w:t>
      </w:r>
      <w:r>
        <w:t xml:space="preserve">and</w:t>
      </w:r>
      <w:r>
        <w:t xml:space="preserve"> </w:t>
      </w:r>
      <m:oMath>
        <m:r>
          <m:t>0.1</m:t>
        </m:r>
        <m:r>
          <m:t> </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(ligand bound on target population divided by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Xo ligands are monovalent ligands with affinities of</w:t>
      </w:r>
      <w:r>
        <w:t xml:space="preserve"> </w:t>
      </w:r>
      <m:oMath>
        <m:r>
          <m:t>1</m:t>
        </m:r>
        <m:r>
          <m:t> </m:t>
        </m:r>
        <m:r>
          <m:rPr>
            <m:sty m:val="p"/>
          </m:rPr>
          <m:t>μ</m:t>
        </m:r>
        <m:r>
          <m:rPr>
            <m:sty m:val="p"/>
          </m:rPr>
          <m:t>M</m:t>
        </m:r>
      </m:oMath>
      <w:r>
        <w:t xml:space="preserve"> </w:t>
      </w:r>
      <w:r>
        <w:t xml:space="preserve">for both receptor 1 and 2. The dissociation constant was allowed to vary between</w:t>
      </w:r>
      <w:r>
        <w:t xml:space="preserve"> </w:t>
      </w:r>
      <m:oMath>
        <m:r>
          <m:t>10</m:t>
        </m:r>
        <m:r>
          <m:t> </m:t>
        </m:r>
        <m:r>
          <m:rPr>
            <m:sty m:val="p"/>
          </m:rPr>
          <m:t>m</m:t>
        </m:r>
        <m:r>
          <m:rPr>
            <m:sty m:val="p"/>
          </m:rPr>
          <m:t>M</m:t>
        </m:r>
      </m:oMath>
      <w:r>
        <w:t xml:space="preserve"> </w:t>
      </w:r>
      <w:r>
        <w:t xml:space="preserve">and</w:t>
      </w:r>
      <w:r>
        <w:t xml:space="preserve"> </w:t>
      </w:r>
      <m:oMath>
        <m:r>
          <m:t>0.1</m:t>
        </m:r>
        <m:r>
          <m:t> </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could invert this relationship.</w:t>
      </w:r>
    </w:p>
    <w:p>
      <w:pPr>
        <w:pStyle w:val="BodyText"/>
      </w:pPr>
      <w:r>
        <w:t xml:space="preserve">To investigate the effect of ligand competition with an antagonist, we modeled mixtures of ligands, but only quantified the amount of binding for the active ligand. Here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w:t>
      </w:r>
      <w:r>
        <w:t xml:space="preserve"> </w:t>
      </w:r>
      <w:hyperlink w:anchor="fig:valency">
        <w:r>
          <w:rPr>
            <w:rStyle w:val="Hyperlink"/>
          </w:rPr>
          <w:t xml:space="preserve">3</w:t>
        </w:r>
      </w:hyperlink>
      <w:r>
        <w:t xml:space="preserve">e).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Only amount of agonist bound is considered in determination of optimal selectivity. b-d) Heatmap of agonist (b), and antagonist (c) ligand bound for antagonist and agonist ligand combination shown to impart greatest selectivity improvement in (a). d) Heatmap of agonist bound in b,c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Only amount of agonist bound is considered in determination of optimal selectivity. b-d) Heatmap of agonist (b), and antagonist (c) ligand bound for antagonist and agonist ligand combination shown to impart greatest selectivity improvement in (a). d) Heatmap of agonist bound in b,c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and used it to explore the effectiveness of various ligand engineering strategies for population-selective binding (Fig.</w:t>
      </w:r>
      <w:r>
        <w:t xml:space="preserve"> </w:t>
      </w:r>
      <w:hyperlink w:anchor="fig:model">
        <w:r>
          <w:rPr>
            <w:rStyle w:val="Hyperlink"/>
          </w:rPr>
          <w:t xml:space="preserve">1</w:t>
        </w:r>
      </w:hyperlink>
      <w:r>
        <w:t xml:space="preserve">). Using a representative set of theoretical cell populations defined by their distinct expression of two receptors, we examined the efficacy of several potential ligand engineering strategies, including changes to affinity, ligand valency, mixtures of species, multi-specificity, antagonist competition, and these in combination.</w:t>
      </w:r>
    </w:p>
    <w:p>
      <w:pPr>
        <w:pStyle w:val="BodyText"/>
      </w:pPr>
      <w:r>
        <w:t xml:space="preserve">Each strategy’s contribution can be summarized by general patterns. We found that affinity changes were most effective when the target and off-target populations expressed distinct combinations of receptors (Fig.</w:t>
      </w:r>
      <w:r>
        <w:t xml:space="preserve"> </w:t>
      </w:r>
      <w:hyperlink w:anchor="fig:affinity">
        <w:r>
          <w:rPr>
            <w:rStyle w:val="Hyperlink"/>
          </w:rPr>
          <w:t xml:space="preserve">2</w:t>
        </w:r>
      </w:hyperlink>
      <w:r>
        <w:t xml:space="preserve">). Binding selectivity was enhanced by increasing the affinity of the ligand for those receptors that are more abundantly expressed on the target cells and decreasing its affinity for those that are not. Selectivity depended upon large differences in receptor expression levels between on- and off-target populations. When target and off-target populations expressed the same pattern of receptors and only differed in receptor abundances, modulations in valency, but not affinity, were effective (Fig.</w:t>
      </w:r>
      <w:r>
        <w:t xml:space="preserve"> </w:t>
      </w:r>
      <w:hyperlink w:anchor="fig:valency">
        <w:r>
          <w:rPr>
            <w:rStyle w:val="Hyperlink"/>
          </w:rPr>
          <w:t xml:space="preserve">3</w:t>
        </w:r>
      </w:hyperlink>
      <w:r>
        <w:t xml:space="preserve">). A key determinant of valency’s effectiveness was the secondary binding and unbinding rate which is dependent on both the kinetics of the receptor-ligand interaction and receptor abundance. Ligand mixtures were mostly ineffective for imparting binding selectivity, and only had modest benefits when considering two or more off-target populations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solely considering fully bound ligand (Fig.</w:t>
      </w:r>
      <w:r>
        <w:t xml:space="preserve"> </w:t>
      </w:r>
      <w:hyperlink w:anchor="fig:bispecific">
        <w:r>
          <w:rPr>
            <w:rStyle w:val="Hyperlink"/>
          </w:rPr>
          <w:t xml:space="preserve">5</w:t>
        </w:r>
      </w:hyperlink>
      <w:r>
        <w:t xml:space="preserve">). These ligands exhibit preferential binding to target populations that have high expression of both receptors over those with high expression of only a single receptor, with the propensity for secondary binding acting as a key determinant for selectivity.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 for the unique selection of target populations expressing relatively fewer receptors than off-target populations (Fig.</w:t>
      </w:r>
      <w:r>
        <w:t xml:space="preserve"> </w:t>
      </w:r>
      <w:hyperlink w:anchor="fig:deadLig">
        <w:r>
          <w:rPr>
            <w:rStyle w:val="Hyperlink"/>
          </w:rPr>
          <w:t xml:space="preserve">7</w:t>
        </w:r>
      </w:hyperlink>
      <w:r>
        <w:t xml:space="preserve">).</w:t>
      </w:r>
    </w:p>
    <w:p>
      <w:pPr>
        <w:pStyle w:val="BodyText"/>
      </w:pPr>
      <w:r>
        <w:t xml:space="preserve">While our multivalent binding model identified strategies for selective targeting in many cases, it also identified situations for which selective binding is challenging. For example, selectively targeting populations based on their absence of receptor expression remains challenging. While we computationally show the potential of using multivalent antagonists with monovalent agonists to selectively target such populations, implementing this may be challenging in practice. In cases where a target population expresses fewer receptors of any kind than an off-target population, our analysis suggests that targeting other receptors should be considered. However, in cases where target populations express more of any type of receptor than an off-target population, we show that one or more of our formulated ligand engineering strategies can be employed to improve binding selectivity. While we expect the same patterns to apply with greater than two receptors, certain emergent behaviors may exist with tri-specific and more complex ligand binding.</w:t>
      </w:r>
    </w:p>
    <w:p>
      <w:pPr>
        <w:pStyle w:val="BodyText"/>
      </w:pPr>
      <w:r>
        <w:t xml:space="preserve">A few of the strategies that we explored have been utilized in existing engineered therapies. For example, affinity changes to the cytokine IL-2 have been used to bias its effects towards either effector or regulatory immune populations.</w:t>
      </w:r>
      <w:hyperlink w:anchor="ref-FqWAsZ7z">
        <w:r>
          <w:rPr>
            <w:rStyle w:val="Hyperlink"/>
            <w:vertAlign w:val="superscript"/>
          </w:rPr>
          <w:t xml:space="preserve">27</w:t>
        </w:r>
      </w:hyperlink>
      <w:r>
        <w:rPr>
          <w:vertAlign w:val="superscript"/>
        </w:rPr>
        <w:t xml:space="preserve">,</w:t>
      </w:r>
      <w:hyperlink w:anchor="ref-L2k7ECfb">
        <w:r>
          <w:rPr>
            <w:rStyle w:val="Hyperlink"/>
            <w:vertAlign w:val="superscript"/>
          </w:rPr>
          <w:t xml:space="preserve">28</w:t>
        </w:r>
      </w:hyperlink>
      <w:r>
        <w:t xml:space="preserve"> </w:t>
      </w:r>
      <w:r>
        <w:t xml:space="preserve">Varying the valency of tumor-targeted antibodies leads to selective cell clearance based upon the levels of expressed antigen.</w:t>
      </w:r>
      <w:hyperlink w:anchor="ref-IanZRiFA">
        <w:r>
          <w:rPr>
            <w:rStyle w:val="Hyperlink"/>
            <w:vertAlign w:val="superscript"/>
          </w:rPr>
          <w:t xml:space="preserve">19</w:t>
        </w:r>
      </w:hyperlink>
      <w:r>
        <w:t xml:space="preserve"> </w:t>
      </w:r>
      <w:r>
        <w:t xml:space="preserve">Manipulating of the affinities of the fibronectin domains on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18</w:t>
        </w:r>
      </w:hyperlink>
      <w:r>
        <w:t xml:space="preserve"> </w:t>
      </w:r>
      <w:r>
        <w:t xml:space="preserve">The tendency of low-affinity, multivalent interactions to target cells expressing high receptor abundances was also described in a study describing the selectivity of multivalent antibody binding to tumor cells bound by a bispecific therapeutic ligand.</w:t>
      </w:r>
      <w:hyperlink w:anchor="ref-B0xrCfE3">
        <w:r>
          <w:rPr>
            <w:rStyle w:val="Hyperlink"/>
            <w:vertAlign w:val="superscript"/>
          </w:rPr>
          <w:t xml:space="preserve">13</w:t>
        </w:r>
      </w:hyperlink>
      <w:r>
        <w:t xml:space="preserve"> </w:t>
      </w:r>
      <w:r>
        <w:t xml:space="preserve">These examples lend support to the accuracy and translational value of our model. At the same time, recognizing these previously described ligand engineering approaches as separable strategies provides clearer guidance for future engineering.</w:t>
      </w:r>
    </w:p>
    <w:p>
      <w:pPr>
        <w:pStyle w:val="BodyText"/>
      </w:pPr>
      <w:r>
        <w:t xml:space="preserve">Some of the optimization strategies described here have not been exploited in part due to the complexity of real biological applications. First, some strategies may not be biochemically practical. For example, the manipulating ligand affinity requires intricate protein engineering. Potential dynamic changes in the receptor expression profile of a target population also complicate the matter. It is well documented that cancer cells can escape therapeutic targeting by upregulating</w:t>
      </w:r>
      <w:hyperlink w:anchor="ref-3WVNxYBN">
        <w:r>
          <w:rPr>
            <w:rStyle w:val="Hyperlink"/>
            <w:vertAlign w:val="superscript"/>
          </w:rPr>
          <w:t xml:space="preserve">29</w:t>
        </w:r>
      </w:hyperlink>
      <w:r>
        <w:rPr>
          <w:vertAlign w:val="superscript"/>
        </w:rPr>
        <w:t xml:space="preserve">,</w:t>
      </w:r>
      <w:hyperlink w:anchor="ref-PIRfSNMl">
        <w:r>
          <w:rPr>
            <w:rStyle w:val="Hyperlink"/>
            <w:vertAlign w:val="superscript"/>
          </w:rPr>
          <w:t xml:space="preserve">30</w:t>
        </w:r>
      </w:hyperlink>
      <w:r>
        <w:t xml:space="preserve"> </w:t>
      </w:r>
      <w:r>
        <w:t xml:space="preserve">or downregulating</w:t>
      </w:r>
      <w:hyperlink w:anchor="ref-uMIi8rGN">
        <w:r>
          <w:rPr>
            <w:rStyle w:val="Hyperlink"/>
            <w:vertAlign w:val="superscript"/>
          </w:rPr>
          <w:t xml:space="preserve">31</w:t>
        </w:r>
      </w:hyperlink>
      <w:r>
        <w:t xml:space="preserve"> </w:t>
      </w:r>
      <w:r>
        <w:t xml:space="preserve">the expression of certain receptors. In this case, both the current and potential abundance of each receptor must be considered. While this work does not address many of these issues, we propose that using a computational binding model can analyze these strategies quantitatively and collectively from a mechanistic perspective. Even when the absolute mathematically optimal ligand characteristics cannot be achieved biochemically, our analyses provide guidance within the bounds of what is attainable and how to approach the optimum, accounting for implementation feasibility and facilitating the implementation of strategy combinations.</w:t>
      </w:r>
    </w:p>
    <w:p>
      <w:pPr>
        <w:pStyle w:val="BodyText"/>
      </w:pPr>
      <w:r>
        <w:t xml:space="preserve">In many therapeutic applications where selective engagement of target cell populations is an important performance metric, such as the treatment of cancer, cellular therapies are becoming increasingly popular.</w:t>
      </w:r>
      <w:hyperlink w:anchor="ref-bi6A2xzH">
        <w:r>
          <w:rPr>
            <w:rStyle w:val="Hyperlink"/>
            <w:vertAlign w:val="superscript"/>
          </w:rPr>
          <w:t xml:space="preserve">32</w:t>
        </w:r>
      </w:hyperlink>
      <w:r>
        <w:t xml:space="preserve"> </w:t>
      </w:r>
      <w:r>
        <w:t xml:space="preserve">Human engineered chimeric antigen receptor (CAR) T cells have enhanced the potential to selectively recognize and attack malignant tissues.</w:t>
      </w:r>
      <w:hyperlink w:anchor="ref-Fp4dDXV1">
        <w:r>
          <w:rPr>
            <w:rStyle w:val="Hyperlink"/>
            <w:vertAlign w:val="superscript"/>
          </w:rPr>
          <w:t xml:space="preserve">33</w:t>
        </w:r>
      </w:hyperlink>
      <w:r>
        <w:t xml:space="preserve"> </w:t>
      </w:r>
      <w:r>
        <w:t xml:space="preserve">These technologies bypass ligand-receptor binding restrictions by allowing recognition in signaling response. However, we have shown here that selectivity can often be attained with relatively simple therapeutic ligands. This study lays the framework for how ligand engineering can be directed using computational modeling. It should be noted that the application of this logic is reliant on knowledge of the target and off-target cell population receptor expression levels. Future application of the ligand binding logic described in this study could be guided using high-throughput single-cell profiling techniques, such as RNA-seq or high-parameter flow cytometry. A computational tool that could directly translate such datasets into ligand design criteria, selecting among potential receptor targets,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17</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according to their relative proportion. The number of ligand complexes in the solution is usually much greater than that of the receptors, so we assume binding does not deplete the ligand concentration.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bound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ligands are not randomly sorted into multivalent complexes, such as with the Fabs of bispecific antibodies, the proportions of each kind of complex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34</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ligand 1 for mixture composition, and</w:t>
      </w:r>
      <w:r>
        <w:t xml:space="preserve"> </w:t>
      </w:r>
      <m:oMath>
        <m:r>
          <m:t>1</m:t>
        </m:r>
        <m:r>
          <m:t> </m:t>
        </m:r>
        <m:r>
          <m:rPr>
            <m:sty m:val="p"/>
          </m:rPr>
          <m:t>μ</m:t>
        </m:r>
        <m:r>
          <m:rPr>
            <m:sty m:val="p"/>
          </m:rPr>
          <m:t>M</m:t>
        </m:r>
      </m:oMath>
      <w:r>
        <w:t xml:space="preserve"> </w:t>
      </w:r>
      <w:r>
        <w:t xml:space="preserve">for the affinity dissociation constants. The boundaries were</w:t>
      </w:r>
      <w:r>
        <w:t xml:space="preserve"> </w:t>
      </w:r>
      <m:oMath>
        <m:sSup>
          <m:e>
            <m:r>
              <m:t>10</m:t>
            </m:r>
          </m:e>
          <m:sup>
            <m:r>
              <m:t>−</m:t>
            </m:r>
            <m:r>
              <m:t>15</m:t>
            </m:r>
          </m:sup>
        </m:sSup>
      </m:oMath>
      <w:r>
        <w:t xml:space="preserve"> </w:t>
      </w:r>
      <w:r>
        <w:t xml:space="preserve">to</w:t>
      </w:r>
      <w:r>
        <w:t xml:space="preserve"> </w:t>
      </w:r>
      <m:oMath>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ligand 1 for mixture composition, and</w:t>
      </w:r>
      <w:r>
        <w:t xml:space="preserve"> </w:t>
      </w:r>
      <m:oMath>
        <m:r>
          <m:t>10</m:t>
        </m:r>
        <m:r>
          <m:t> </m:t>
        </m:r>
        <m:r>
          <m:rPr>
            <m:sty m:val="p"/>
          </m:rPr>
          <m:t>m</m:t>
        </m:r>
        <m:r>
          <m:rPr>
            <m:sty m:val="p"/>
          </m:rPr>
          <m:t>M</m:t>
        </m:r>
      </m:oMath>
      <w:r>
        <w:t xml:space="preserve"> </w:t>
      </w:r>
      <w:r>
        <w:t xml:space="preserve">to</w:t>
      </w:r>
      <w:r>
        <w:t xml:space="preserve"> </w:t>
      </w:r>
      <m:oMath>
        <m:r>
          <m:t>0.1</m:t>
        </m:r>
        <m:r>
          <m:t> </m:t>
        </m:r>
        <m:r>
          <m:rPr>
            <m:sty m:val="p"/>
          </m:rPr>
          <m:t>n</m:t>
        </m:r>
        <m:r>
          <m:rPr>
            <m:sty m:val="p"/>
          </m:rPr>
          <m:t>M</m:t>
        </m:r>
      </m:oMath>
      <w:r>
        <w:t xml:space="preserve"> </w:t>
      </w:r>
      <w:r>
        <w:t xml:space="preserve">for the affinity dissociation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the sigma point filters,</w:t>
      </w:r>
      <w:hyperlink w:anchor="ref-VKATSjfe">
        <w:r>
          <w:rPr>
            <w:rStyle w:val="Hyperlink"/>
            <w:vertAlign w:val="superscript"/>
          </w:rPr>
          <w:t xml:space="preserve">16</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18</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w:t>
      </w:r>
      <w:r>
        <w:t xml:space="preserve"> </w:t>
      </w:r>
      <m:oMath>
        <m:r>
          <m:t>0.16</m:t>
        </m:r>
        <m:r>
          <m:t>–</m:t>
        </m:r>
        <m:r>
          <m:t>500</m:t>
        </m:r>
        <m:r>
          <m:t> </m:t>
        </m:r>
        <m:r>
          <m:rPr>
            <m:sty m:val="p"/>
          </m:rPr>
          <m:t>n</m:t>
        </m:r>
        <m:r>
          <m:rPr>
            <m:sty m:val="p"/>
          </m:rPr>
          <m:t>M</m:t>
        </m:r>
      </m:oMath>
      <w:r>
        <w:t xml:space="preserve">. C5 and B22 are high and low affinity fibronectin binding domains respectively. Using nonlinear least-squares regression, the crosslinking coefficient was found to be</w:t>
      </w:r>
      <w:r>
        <w:t xml:space="preserve"> </w:t>
      </w:r>
      <m:oMath>
        <m:r>
          <m:t>1.11</m:t>
        </m:r>
        <m:r>
          <m:t>×</m:t>
        </m:r>
        <m:sSup>
          <m:e>
            <m:r>
              <m:t>10</m:t>
            </m:r>
          </m:e>
          <m:sup>
            <m:r>
              <m:t>−</m:t>
            </m:r>
            <m:r>
              <m:t>12</m:t>
            </m:r>
          </m:sup>
        </m:sSup>
      </m:oMath>
      <w:r>
        <w:t xml:space="preserve">; the dissociation constants for C5 and B22 were found to be</w:t>
      </w:r>
      <w:r>
        <w:t xml:space="preserve"> </w:t>
      </w:r>
      <m:oMath>
        <m:r>
          <m:t>1.73</m:t>
        </m:r>
        <m:r>
          <m:t> </m:t>
        </m:r>
        <m:r>
          <m:rPr>
            <m:sty m:val="p"/>
          </m:rPr>
          <m:t>μ</m:t>
        </m:r>
        <m:r>
          <m:rPr>
            <m:sty m:val="p"/>
          </m:rPr>
          <m:t>M</m:t>
        </m:r>
      </m:oMath>
      <w:r>
        <w:t xml:space="preserve"> </w:t>
      </w:r>
      <w:r>
        <w:t xml:space="preserve">and</w:t>
      </w:r>
      <w:r>
        <w:t xml:space="preserve"> </w:t>
      </w:r>
      <m:oMath>
        <m:r>
          <m:t>3.24</m:t>
        </m:r>
        <m:r>
          <m:t> </m:t>
        </m:r>
        <m:r>
          <m:rPr>
            <m:sty m:val="p"/>
          </m:rPr>
          <m:t>μ</m:t>
        </m:r>
        <m:r>
          <m:rPr>
            <m:sty m:val="p"/>
          </m:rPr>
          <m:t>M</m:t>
        </m:r>
      </m:oMath>
      <w:r>
        <w:t xml:space="preserve"> </w:t>
      </w:r>
      <w:r>
        <w:t xml:space="preserve">respectively, and ligand to fluorescent conversion factor for C5 and B22 were found to be</w:t>
      </w:r>
      <w:r>
        <w:t xml:space="preserve"> </w:t>
      </w:r>
      <m:oMath>
        <m:r>
          <m:t>5.1</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18</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w:t>
      </w:r>
      <w:r>
        <w:t xml:space="preserve"> </w:t>
      </w:r>
      <m:oMath>
        <m:r>
          <m:t>0.16</m:t>
        </m:r>
        <m:r>
          <m:t>–</m:t>
        </m:r>
        <m:r>
          <m:t>500</m:t>
        </m:r>
        <m:r>
          <m:t> </m:t>
        </m:r>
        <m:r>
          <m:rPr>
            <m:sty m:val="p"/>
          </m:rPr>
          <m:t>n</m:t>
        </m:r>
        <m:r>
          <m:rPr>
            <m:sty m:val="p"/>
          </m:rPr>
          <m:t>M</m:t>
        </m:r>
      </m:oMath>
      <w:r>
        <w:t xml:space="preserve">. C5 and B22 are high and low affinity fibronectin binding domains respectively. Using nonlinear least-squares regression, the crosslinking coefficient was found to be</w:t>
      </w:r>
      <w:r>
        <w:t xml:space="preserve"> </w:t>
      </w:r>
      <m:oMath>
        <m:r>
          <m:t>1.11</m:t>
        </m:r>
        <m:r>
          <m:t>×</m:t>
        </m:r>
        <m:sSup>
          <m:e>
            <m:r>
              <m:t>10</m:t>
            </m:r>
          </m:e>
          <m:sup>
            <m:r>
              <m:t>−</m:t>
            </m:r>
            <m:r>
              <m:t>12</m:t>
            </m:r>
          </m:sup>
        </m:sSup>
      </m:oMath>
      <w:r>
        <w:t xml:space="preserve">; the dissociation constants for C5 and B22 were found to be</w:t>
      </w:r>
      <w:r>
        <w:t xml:space="preserve"> </w:t>
      </w:r>
      <m:oMath>
        <m:r>
          <m:t>1.73</m:t>
        </m:r>
        <m:r>
          <m:t> </m:t>
        </m:r>
        <m:r>
          <m:rPr>
            <m:sty m:val="p"/>
          </m:rPr>
          <m:t>μ</m:t>
        </m:r>
        <m:r>
          <m:rPr>
            <m:sty m:val="p"/>
          </m:rPr>
          <m:t>M</m:t>
        </m:r>
      </m:oMath>
      <w:r>
        <w:t xml:space="preserve"> </w:t>
      </w:r>
      <w:r>
        <w:t xml:space="preserve">and</w:t>
      </w:r>
      <w:r>
        <w:t xml:space="preserve"> </w:t>
      </w:r>
      <m:oMath>
        <m:r>
          <m:t>3.24</m:t>
        </m:r>
        <m:r>
          <m:t> </m:t>
        </m:r>
        <m:r>
          <m:rPr>
            <m:sty m:val="p"/>
          </m:rPr>
          <m:t>μ</m:t>
        </m:r>
        <m:r>
          <m:rPr>
            <m:sty m:val="p"/>
          </m:rPr>
          <m:t>M</m:t>
        </m:r>
      </m:oMath>
      <w:r>
        <w:t xml:space="preserve"> </w:t>
      </w:r>
      <w:r>
        <w:t xml:space="preserve">respectively, and ligand to fluorescent conversion factor for C5 and B22 were found to be</w:t>
      </w:r>
      <w:r>
        <w:t xml:space="preserve"> </w:t>
      </w:r>
      <m:oMath>
        <m:r>
          <m:t>5.1</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18</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Cold Spring Harbor Laboratory</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VKATSjfe"/>
    <w:p>
      <w:pPr>
        <w:pStyle w:val="Bibliography"/>
      </w:pPr>
      <w:r>
        <w:t xml:space="preserve">16. Merwe, R. van der. Sigma-Point Kalman Filters for Probabilistic Inference in Dynamic State-Space Models. (2004).</w:t>
      </w:r>
    </w:p>
    <w:bookmarkEnd w:id="76"/>
    <w:bookmarkStart w:id="77" w:name="ref-11gk5tUo7"/>
    <w:p>
      <w:pPr>
        <w:pStyle w:val="Bibliography"/>
      </w:pPr>
      <w:r>
        <w:t xml:space="preserve">17.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w:t>
      </w:r>
      <w:r>
        <w:t xml:space="preserve"> </w:t>
      </w:r>
      <w:r>
        <w:rPr>
          <w:b/>
        </w:rPr>
        <w:t xml:space="preserve">7</w:t>
      </w:r>
      <w:r>
        <w:t xml:space="preserve">, 41–48.e5 (2018).</w:t>
      </w:r>
    </w:p>
    <w:bookmarkEnd w:id="77"/>
    <w:bookmarkStart w:id="78" w:name="ref-u2Cb0DBq"/>
    <w:p>
      <w:pPr>
        <w:pStyle w:val="Bibliography"/>
      </w:pPr>
      <w:r>
        <w:t xml:space="preserve">18.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8"/>
    <w:bookmarkStart w:id="79" w:name="ref-IanZRiFA"/>
    <w:p>
      <w:pPr>
        <w:pStyle w:val="Bibliography"/>
      </w:pPr>
      <w:r>
        <w:t xml:space="preserve">19.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40098 (2017).</w:t>
      </w:r>
    </w:p>
    <w:bookmarkEnd w:id="79"/>
    <w:bookmarkStart w:id="80" w:name="ref-luDqQ0zL"/>
    <w:p>
      <w:pPr>
        <w:pStyle w:val="Bibliography"/>
      </w:pPr>
      <w:r>
        <w:t xml:space="preserve">20.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80"/>
    <w:bookmarkStart w:id="81" w:name="ref-eR2h4yr3"/>
    <w:p>
      <w:pPr>
        <w:pStyle w:val="Bibliography"/>
      </w:pPr>
      <w:r>
        <w:t xml:space="preserve">21.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81"/>
    <w:bookmarkStart w:id="82" w:name="ref-8lU1hNlA"/>
    <w:p>
      <w:pPr>
        <w:pStyle w:val="Bibliography"/>
      </w:pPr>
      <w:r>
        <w:t xml:space="preserve">22.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2"/>
    <w:bookmarkStart w:id="83" w:name="ref-iG3t9Py2"/>
    <w:p>
      <w:pPr>
        <w:pStyle w:val="Bibliography"/>
      </w:pPr>
      <w:r>
        <w:t xml:space="preserve">23.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3"/>
    <w:bookmarkStart w:id="84" w:name="ref-18yoQOgm4"/>
    <w:p>
      <w:pPr>
        <w:pStyle w:val="Bibliography"/>
      </w:pPr>
      <w:r>
        <w:t xml:space="preserve">24.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4"/>
    <w:bookmarkStart w:id="85" w:name="ref-y7JtEfom"/>
    <w:p>
      <w:pPr>
        <w:pStyle w:val="Bibliography"/>
      </w:pPr>
      <w:r>
        <w:t xml:space="preserve">25. Qi, J., Chen, S.-S., Chiorazzi, N. &amp; Rader, C. An IgG1-like bispecific antibody targeting CD52 and CD20 for the treatment of B-cell malignancies.</w:t>
      </w:r>
      <w:r>
        <w:t xml:space="preserve"> </w:t>
      </w:r>
      <w:r>
        <w:rPr>
          <w:i/>
        </w:rPr>
        <w:t xml:space="preserve">Methods</w:t>
      </w:r>
      <w:r>
        <w:t xml:space="preserve"> </w:t>
      </w:r>
      <w:r>
        <w:rPr>
          <w:b/>
        </w:rPr>
        <w:t xml:space="preserve">154</w:t>
      </w:r>
      <w:r>
        <w:t xml:space="preserve">, 70–76 (2018).</w:t>
      </w:r>
    </w:p>
    <w:bookmarkEnd w:id="85"/>
    <w:bookmarkStart w:id="86" w:name="ref-uVvF8Fgs"/>
    <w:p>
      <w:pPr>
        <w:pStyle w:val="Bibliography"/>
      </w:pPr>
      <w:r>
        <w:t xml:space="preserve">26. Hlavacek, W. S., Posner, R. G. &amp; Perelson, A. S. Steric effects on multivalent ligand-receptor binding: exclusion of ligand sites by bound cell surface receptors.</w:t>
      </w:r>
      <w:r>
        <w:t xml:space="preserve"> </w:t>
      </w:r>
      <w:r>
        <w:rPr>
          <w:i/>
        </w:rPr>
        <w:t xml:space="preserve">Biophys J</w:t>
      </w:r>
      <w:r>
        <w:t xml:space="preserve"> </w:t>
      </w:r>
      <w:r>
        <w:rPr>
          <w:b/>
        </w:rPr>
        <w:t xml:space="preserve">76</w:t>
      </w:r>
      <w:r>
        <w:t xml:space="preserve">, 3031–43 (1999).</w:t>
      </w:r>
    </w:p>
    <w:bookmarkEnd w:id="86"/>
    <w:bookmarkStart w:id="87" w:name="ref-FqWAsZ7z"/>
    <w:p>
      <w:pPr>
        <w:pStyle w:val="Bibliography"/>
      </w:pPr>
      <w:r>
        <w:t xml:space="preserve">27.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7"/>
    <w:bookmarkStart w:id="88" w:name="ref-L2k7ECfb"/>
    <w:p>
      <w:pPr>
        <w:pStyle w:val="Bibliography"/>
      </w:pPr>
      <w:r>
        <w:t xml:space="preserve">28.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 Autoimmun</w:t>
      </w:r>
      <w:r>
        <w:t xml:space="preserve"> </w:t>
      </w:r>
      <w:r>
        <w:rPr>
          <w:b/>
        </w:rPr>
        <w:t xml:space="preserve">95</w:t>
      </w:r>
      <w:r>
        <w:t xml:space="preserve">, 1–14 (2018).</w:t>
      </w:r>
    </w:p>
    <w:bookmarkEnd w:id="88"/>
    <w:bookmarkStart w:id="89" w:name="ref-3WVNxYBN"/>
    <w:p>
      <w:pPr>
        <w:pStyle w:val="Bibliography"/>
      </w:pPr>
      <w:r>
        <w:t xml:space="preserve">29.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9"/>
    <w:bookmarkStart w:id="90" w:name="ref-PIRfSNMl"/>
    <w:p>
      <w:pPr>
        <w:pStyle w:val="Bibliography"/>
      </w:pPr>
      <w:r>
        <w:t xml:space="preserve">30.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90"/>
    <w:bookmarkStart w:id="91" w:name="ref-uMIi8rGN"/>
    <w:p>
      <w:pPr>
        <w:pStyle w:val="Bibliography"/>
      </w:pPr>
      <w:r>
        <w:t xml:space="preserve">31. Bubeník, J. Tumour MHC class I downregulation and immunotherapy (Review).</w:t>
      </w:r>
      <w:r>
        <w:t xml:space="preserve"> </w:t>
      </w:r>
      <w:r>
        <w:rPr>
          <w:i/>
        </w:rPr>
        <w:t xml:space="preserve">Oncol Rep</w:t>
      </w:r>
      <w:r>
        <w:t xml:space="preserve"> </w:t>
      </w:r>
      <w:r>
        <w:rPr>
          <w:b/>
        </w:rPr>
        <w:t xml:space="preserve">10</w:t>
      </w:r>
      <w:r>
        <w:t xml:space="preserve">, 2005–8</w:t>
      </w:r>
    </w:p>
    <w:bookmarkEnd w:id="91"/>
    <w:bookmarkStart w:id="92" w:name="ref-bi6A2xzH"/>
    <w:p>
      <w:pPr>
        <w:pStyle w:val="Bibliography"/>
      </w:pPr>
      <w:r>
        <w:t xml:space="preserve">32.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2"/>
    <w:bookmarkStart w:id="93" w:name="ref-Fp4dDXV1"/>
    <w:p>
      <w:pPr>
        <w:pStyle w:val="Bibliography"/>
      </w:pPr>
      <w:r>
        <w:t xml:space="preserve">33.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3"/>
    <w:bookmarkStart w:id="94" w:name="ref-8Miti2Gz"/>
    <w:p>
      <w:pPr>
        <w:pStyle w:val="Bibliography"/>
      </w:pPr>
      <w:r>
        <w:t xml:space="preserve">34.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rPr>
          <w:b/>
        </w:rPr>
        <w:t xml:space="preserve">17</w:t>
      </w:r>
      <w:r>
        <w:t xml:space="preserve">, 261–272 (2020).</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4" Target="https://github.com/borcuttjahns" TargetMode="External" /><Relationship Type="http://schemas.openxmlformats.org/officeDocument/2006/relationships/hyperlink" Id="rId22"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3" Target="https://orcid.org/0000-0002-1436-1224" TargetMode="External" /><Relationship Type="http://schemas.openxmlformats.org/officeDocument/2006/relationships/hyperlink" Id="rId21"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4" Target="https://github.com/borcuttjahns" TargetMode="External" /><Relationship Type="http://schemas.openxmlformats.org/officeDocument/2006/relationships/hyperlink" Id="rId22"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3" Target="https://orcid.org/0000-0002-1436-1224" TargetMode="External" /><Relationship Type="http://schemas.openxmlformats.org/officeDocument/2006/relationships/hyperlink" Id="rId21"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2020-11-30T21:04:42Z</dcterms:created>
  <dcterms:modified xsi:type="dcterms:W3CDTF">2020-11-30T21:04:42Z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2020-11-30</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