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8,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usually much greater than that of the receptors, so we assume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10000</m:t>
        </m:r>
        <m:r>
          <m:rPr>
            <m:sty m:val="p"/>
          </m:rPr>
          <m:t>n</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the two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uniquely higher than other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expresses a high amount of</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expresses a high amount of</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the affinity of</w:t>
      </w:r>
      <w:r>
        <w:t xml:space="preserve"> </w:t>
      </w:r>
      <m:oMath>
        <m:sSub>
          <m:e>
            <m:r>
              <m:t>R</m:t>
            </m:r>
          </m:e>
          <m:sub>
            <m:r>
              <m:t>1</m:t>
            </m:r>
          </m:sub>
        </m:sSub>
      </m:oMath>
      <w:r>
        <w:t xml:space="preserve"> </w:t>
      </w:r>
      <w:r>
        <w:t xml:space="preserve">increases, which corresponds to shifting from the left subplots to the right ones, the contour lines of higher values shift inward and cluster more densely,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it is quite often that both on- and off-target cell populations express the same set of receptors and only differ in their magnitude of expression.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more highly expressed receptors have only 10-fold difference comparing with the 100-fold difference in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the greatest binding ratios these two pairs can achieve are no more than 10 times instead of 50 times.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w:t>
      </w:r>
    </w:p>
    <w:p>
      <w:pPr>
        <w:pStyle w:val="BodyText"/>
      </w:pPr>
      <w:r>
        <w:t xml:space="preserve">Through reading the contour plots, we can also ponder how affinity changes affect the intrapopulation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 </w:t>
      </w:r>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such as shown in the subplots in the upper left corner and bottom right corner of Figure</w:t>
      </w:r>
      <w:r>
        <w:t xml:space="preserve"> </w:t>
      </w:r>
      <w:hyperlink w:anchor="fig:affinity">
        <w:r>
          <w:rPr>
            <w:rStyle w:val="Hyperlink"/>
          </w:rPr>
          <w:t xml:space="preserve">2</w:t>
        </w:r>
      </w:hyperlink>
      <w:r>
        <w:t xml:space="preserve"> </w:t>
      </w:r>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When designing a therapeutic for cell populations with broader or more dynamic expression profile, such as tumor cells, the consideration in intrapopulation heterogeneity when using affinity engineering is worthwhile.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amount of ligand bound by cells expressing different abundances of receptor</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lines in the binding contour plot. For example, in the monovalent case, there are roughly the same amount of contour lines between $ R_1</w:t>
      </w:r>
      <w:r>
        <w:rPr>
          <w:vertAlign w:val="superscript"/>
        </w:rPr>
        <w:t xml:space="preserve">{lo}R_2</w:t>
      </w:r>
      <w:r>
        <w:t xml:space="preserve">{lo}$ 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but in the tetravalent case, there are more contour lines between</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h</m:t>
            </m:r>
            <m:r>
              <m:t>i</m:t>
            </m:r>
          </m:sup>
        </m:sSubSup>
        <m:sSubSup>
          <m:e>
            <m:r>
              <m:t>R</m:t>
            </m:r>
          </m:e>
          <m:sub>
            <m:r>
              <m:t>2</m:t>
            </m:r>
          </m:sub>
          <m:sup>
            <m:r>
              <m:t>h</m:t>
            </m:r>
            <m:r>
              <m:t>i</m:t>
            </m:r>
          </m:sup>
        </m:sSubSup>
      </m:oMath>
      <w:r>
        <w:t xml:space="preserve">, suggesting a sharper increase in ligand bound (Fig.</w:t>
      </w:r>
      <w:r>
        <w:t xml:space="preserve"> </w:t>
      </w:r>
      <w:hyperlink w:anchor="fig:valency">
        <w:r>
          <w:rPr>
            <w:rStyle w:val="Hyperlink"/>
          </w:rPr>
          <w:t xml:space="preserve">3</w:t>
        </w:r>
      </w:hyperlink>
      <w:r>
        <w:t xml:space="preserve">a).</w:t>
      </w:r>
    </w:p>
    <w:p>
      <w:pPr>
        <w:pStyle w:val="BodyText"/>
      </w:pPr>
      <w:r>
        <w:t xml:space="preserve">Previous work has shown that our binding model can accurately predict the complicated multivalent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is dependent on affinity. As many previous studies have suggested,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for</w:t>
      </w:r>
      <w:r>
        <w:t xml:space="preserve"> </w:t>
      </w:r>
      <m:oMath>
        <m:sSub>
          <m:e>
            <m:r>
              <m:t>R</m:t>
            </m:r>
          </m:e>
          <m:sub>
            <m:r>
              <m:t>1</m:t>
            </m:r>
          </m:sub>
        </m:sSub>
      </m:oMath>
      <w:r>
        <w:t xml:space="preserve"> </w:t>
      </w:r>
      <w:r>
        <w:t xml:space="preserve">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330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 with the composition, so any mixture combination is no better than using the more specific ligand entirely(Fig.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We compared bispecificity with two aforementioned strategies: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 </w:t>
      </w:r>
      <w:r>
        <w:t xml:space="preserve">a), a 50%-50% mixture of two monomers (Fig</w:t>
      </w:r>
      <w:r>
        <w:t xml:space="preserve"> </w:t>
      </w:r>
      <w:hyperlink w:anchor="fig:bispecific">
        <w:r>
          <w:rPr>
            <w:rStyle w:val="Hyperlink"/>
          </w:rPr>
          <w:t xml:space="preserve">5</w:t>
        </w:r>
      </w:hyperlink>
      <w:r>
        <w:t xml:space="preserve"> </w:t>
      </w:r>
      <w:r>
        <w:t xml:space="preserve">b), and a 50%-50% mixture of two different homogeneous bivalents (Fig</w:t>
      </w:r>
      <w:r>
        <w:t xml:space="preserve"> </w:t>
      </w:r>
      <w:hyperlink w:anchor="fig:bispecific">
        <w:r>
          <w:rPr>
            <w:rStyle w:val="Hyperlink"/>
          </w:rPr>
          <w:t xml:space="preserve">5</w:t>
        </w:r>
      </w:hyperlink>
      <w:r>
        <w:t xml:space="preserve"> </w:t>
      </w:r>
      <w:r>
        <w:t xml:space="preserve">c), with the same set of parameters in ligand concentration and affinities. It turned out that the patterns of ligand bounds of these three cases are almost exactly the same, and bispecific doesn’t exhibit any merit. We then investigated if bispecific ligands that have to be activated with both of their subunits binding to a target display any special cell population selectivity characteristics. Bispecific ligands that require both subunits bound to be effective are common in the design of bispecific antibodies. To be specific,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p>
    <w:p>
      <w:pPr>
        <w:pStyle w:val="BodyText"/>
      </w:pPr>
      <w:r>
        <w:t xml:space="preserve">To scrutinize the case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Besides that ligand fully bound has lower amounts,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ligand fully bound prefers double-positively expressed cells than singly-positively expressed cells. This should be obvious since these two subunits of the bispecific complex prefer different receptors. The results indicate that bispecific ligands will only exhibit special characteristics when it can only be activated fully bound. This characteristic opens up brand new engineering opportunities for targeting specific cell populations.</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mathematical optimization to determine the optimally cell type selective ligand for our theoretical cell populations. Here,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2020-10-09T01:09:34Z</dcterms:created>
  <dcterms:modified xsi:type="dcterms:W3CDTF">2020-10-09T01:09:34Z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