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October 20, 2020.</w:t>
      </w:r>
      <w:r>
        <w:t xml:space="preserve"> </w:t>
      </w:r>
    </w:p>
    <w:p>
      <w:pPr>
        <w:pStyle w:val="Heading2"/>
      </w:pPr>
      <w:bookmarkStart w:id="20" w:name="authors"/>
      <w:r>
        <w:t xml:space="preserve">Authors</w:t>
      </w:r>
      <w:bookmarkEnd w:id="20"/>
    </w:p>
    <w:p>
      <w:pPr>
        <w:numPr>
          <w:ilvl w:val="0"/>
          <w:numId w:val="1001"/>
        </w:numPr>
      </w:pPr>
      <w:r>
        <w:rPr>
          <w:b/>
        </w:rPr>
        <w:t xml:space="preserve">Brian Orcutt-Jahns</w:t>
      </w:r>
      <w:r>
        <w:t xml:space="preserve"> </w:t>
      </w:r>
      <w:r>
        <w:t xml:space="preserve">ORCID</w:t>
      </w:r>
      <w:r>
        <w:t xml:space="preserve"> </w:t>
      </w:r>
      <w:hyperlink r:id="rId21">
        <w:r>
          <w:rPr>
            <w:rStyle w:val="Hyperlink"/>
          </w:rPr>
          <w:t xml:space="preserve">0000-0002-1436-1224</w:t>
        </w:r>
      </w:hyperlink>
      <w:r>
        <w:t xml:space="preserve"> </w:t>
      </w:r>
      <w:r>
        <w:t xml:space="preserve">· Github</w:t>
      </w:r>
      <w:r>
        <w:t xml:space="preserve"> </w:t>
      </w:r>
      <w:hyperlink r:id="rId22">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3">
        <w:r>
          <w:rPr>
            <w:rStyle w:val="Hyperlink"/>
          </w:rPr>
          <w:t xml:space="preserve">0000-0002-5498-5509</w:t>
        </w:r>
      </w:hyperlink>
      <w:r>
        <w:t xml:space="preserve"> </w:t>
      </w:r>
      <w:r>
        <w:t xml:space="preserve">· Github</w:t>
      </w:r>
      <w:r>
        <w:t xml:space="preserve"> </w:t>
      </w:r>
      <w:hyperlink r:id="rId24">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5">
        <w:r>
          <w:rPr>
            <w:rStyle w:val="Hyperlink"/>
          </w:rPr>
          <w:t xml:space="preserve">0000-0003-4513-1840</w:t>
        </w:r>
      </w:hyperlink>
      <w:r>
        <w:t xml:space="preserve"> </w:t>
      </w:r>
      <w:r>
        <w:t xml:space="preserve">· Github</w:t>
      </w:r>
      <w:r>
        <w:t xml:space="preserve"> </w:t>
      </w:r>
      <w:hyperlink r:id="rId26">
        <w:r>
          <w:rPr>
            <w:rStyle w:val="Hyperlink"/>
          </w:rPr>
          <w:t xml:space="preserve">aarmey</w:t>
        </w:r>
      </w:hyperlink>
      <w:r>
        <w:t xml:space="preserve"> </w:t>
      </w:r>
      <w:r>
        <w:t xml:space="preserve">· twitter</w:t>
      </w:r>
      <w:r>
        <w:t xml:space="preserve"> </w:t>
      </w:r>
      <w:hyperlink r:id="rId27">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p>
      <w:pPr>
        <w:pStyle w:val="Heading2"/>
      </w:pPr>
      <w:bookmarkStart w:id="28" w:name="abstract"/>
      <w:r>
        <w:t xml:space="preserve">Abstract</w:t>
      </w:r>
      <w:bookmarkEnd w:id="28"/>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p>
      <w:pPr>
        <w:pStyle w:val="Heading2"/>
      </w:pPr>
      <w:bookmarkStart w:id="29" w:name="summary-points"/>
      <w:r>
        <w:t xml:space="preserve">Summary points</w:t>
      </w:r>
      <w:bookmarkEnd w:id="29"/>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p>
      <w:pPr>
        <w:pStyle w:val="Heading2"/>
      </w:pPr>
      <w:bookmarkStart w:id="30" w:name="introduction"/>
      <w:r>
        <w:t xml:space="preserve">Introduction</w:t>
      </w:r>
      <w:bookmarkEnd w:id="30"/>
    </w:p>
    <w:p>
      <w:pPr>
        <w:pStyle w:val="FirstParagraph"/>
      </w:pPr>
      <w:r>
        <w:t xml:space="preserve">Many drugs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toxicity. Specific cell targeting is a universal challenge in protein-based therapies. For example, in cancer, resistance to anti-tumor antibodies,</w:t>
      </w:r>
      <w:hyperlink w:anchor="ref-dr9JS306">
        <w:r>
          <w:rPr>
            <w:rStyle w:val="Hyperlink"/>
            <w:vertAlign w:val="superscript"/>
          </w:rPr>
          <w:t xml:space="preserve">1</w:t>
        </w:r>
      </w:hyperlink>
      <w:r>
        <w:t xml:space="preserve"> </w:t>
      </w:r>
      <w:r>
        <w:t xml:space="preserve">targeted inhibitors,</w:t>
      </w:r>
      <w:hyperlink w:anchor="ref-QzzeTuTF">
        <w:r>
          <w:rPr>
            <w:rStyle w:val="Hyperlink"/>
            <w:vertAlign w:val="superscript"/>
          </w:rPr>
          <w:t xml:space="preserve">2</w:t>
        </w:r>
      </w:hyperlink>
      <w:r>
        <w:t xml:space="preserve"> </w:t>
      </w:r>
      <w:r>
        <w:t xml:space="preserve">chemotherapies,</w:t>
      </w:r>
      <w:hyperlink w:anchor="ref-10v4cJsaH">
        <w:r>
          <w:rPr>
            <w:rStyle w:val="Hyperlink"/>
            <w:vertAlign w:val="superscript"/>
          </w:rPr>
          <w:t xml:space="preserve">3</w:t>
        </w:r>
      </w:hyperlink>
      <w:r>
        <w:t xml:space="preserve"> </w:t>
      </w:r>
      <w:r>
        <w:t xml:space="preserve">and chimeric antigen receptor T cells</w:t>
      </w:r>
      <w:hyperlink w:anchor="ref-qUZcGLd9">
        <w:r>
          <w:rPr>
            <w:rStyle w:val="Hyperlink"/>
            <w:vertAlign w:val="superscript"/>
          </w:rPr>
          <w:t xml:space="preserve">4</w:t>
        </w:r>
      </w:hyperlink>
      <w:r>
        <w:rPr>
          <w:vertAlign w:val="superscript"/>
        </w:rPr>
        <w:t xml:space="preserve">,</w:t>
      </w:r>
      <w:hyperlink w:anchor="ref-63ewQnLP">
        <w:r>
          <w:rPr>
            <w:rStyle w:val="Hyperlink"/>
            <w:vertAlign w:val="superscript"/>
          </w:rPr>
          <w:t xml:space="preserve">5</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3qk2Wsrw">
        <w:r>
          <w:rPr>
            <w:rStyle w:val="Hyperlink"/>
            <w:vertAlign w:val="superscript"/>
          </w:rPr>
          <w:t xml:space="preserve">6</w:t>
        </w:r>
      </w:hyperlink>
      <w:r>
        <w:t xml:space="preserve"> </w:t>
      </w:r>
      <w:r>
        <w:t xml:space="preserve">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F89Nm4u">
        <w:r>
          <w:rPr>
            <w:rStyle w:val="Hyperlink"/>
            <w:vertAlign w:val="superscript"/>
          </w:rPr>
          <w:t xml:space="preserve">7</w:t>
        </w:r>
      </w:hyperlink>
      <w:r>
        <w:t xml:space="preserve"> </w:t>
      </w:r>
      <w:r>
        <w:t xml:space="preserve">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and more complex programs into cellular therapies to recognize target cells more specifically.</w:t>
      </w:r>
      <w:hyperlink w:anchor="ref-GCbN2SKa">
        <w:r>
          <w:rPr>
            <w:rStyle w:val="Hyperlink"/>
            <w:vertAlign w:val="superscript"/>
          </w:rPr>
          <w:t xml:space="preserve">8</w:t>
        </w:r>
      </w:hyperlink>
      <w:r>
        <w:rPr>
          <w:vertAlign w:val="superscript"/>
        </w:rPr>
        <w:t xml:space="preserve">–</w:t>
      </w:r>
      <w:hyperlink w:anchor="ref-TZjxCK1M">
        <w:r>
          <w:rPr>
            <w:rStyle w:val="Hyperlink"/>
            <w:vertAlign w:val="superscript"/>
          </w:rPr>
          <w:t xml:space="preserve">10</w:t>
        </w:r>
      </w:hyperlink>
      <w:r>
        <w:t xml:space="preserve"> </w:t>
      </w:r>
      <w:r>
        <w:t xml:space="preserve">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make computational tools essential for designing highly selective therapies.</w:t>
      </w:r>
      <w:hyperlink w:anchor="ref-12Gx1OssI">
        <w:r>
          <w:rPr>
            <w:rStyle w:val="Hyperlink"/>
            <w:vertAlign w:val="superscript"/>
          </w:rPr>
          <w:t xml:space="preserve">11</w:t>
        </w:r>
      </w:hyperlink>
      <w:r>
        <w:t xml:space="preserve"> </w:t>
      </w:r>
      <w:r>
        <w:t xml:space="preserve">Here, we analyze a suite of molecular strategies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strategies. In total, our results demonstrate that binding programs can offer combinatorial targeting strategies with similar effectiveness as complex engineered cellular therapies and can be engineered using a mechanistic binding model.</w:t>
      </w:r>
    </w:p>
    <w:p>
      <w:pPr>
        <w:pStyle w:val="Heading2"/>
      </w:pPr>
      <w:bookmarkStart w:id="31" w:name="results"/>
      <w:r>
        <w:t xml:space="preserve">Results</w:t>
      </w:r>
      <w:bookmarkEnd w:id="31"/>
    </w:p>
    <w:p>
      <w:pPr>
        <w:pStyle w:val="Heading3"/>
      </w:pPr>
      <w:bookmarkStart w:id="32" w:name="Xa70cdaa3dbe889b14a8f05afb46e79dd8fc01bf"/>
      <w:r>
        <w:t xml:space="preserve">A Model System to Explore the Factors Contributing to Cell Selectivity</w:t>
      </w:r>
      <w:bookmarkEnd w:id="32"/>
    </w:p>
    <w:bookmarkStart w:id="0" w:name="fig:model"/>
    <w:p>
      <w:pPr>
        <w:pStyle w:val="CaptionedFigure"/>
      </w:pPr>
      <w:bookmarkStart w:id="33"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bookmarkEnd w:id="33"/>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myriad drug design strategies.</w:t>
      </w:r>
      <w:hyperlink w:anchor="ref-10kZoPeON">
        <w:r>
          <w:rPr>
            <w:rStyle w:val="Hyperlink"/>
            <w:vertAlign w:val="superscript"/>
          </w:rPr>
          <w:t xml:space="preserve">12</w:t>
        </w:r>
      </w:hyperlink>
      <w:r>
        <w:rPr>
          <w:vertAlign w:val="superscript"/>
        </w:rPr>
        <w:t xml:space="preserve">–</w:t>
      </w:r>
      <w:hyperlink w:anchor="ref-LOh8Ljpe">
        <w:r>
          <w:rPr>
            <w:rStyle w:val="Hyperlink"/>
            <w:vertAlign w:val="superscript"/>
          </w:rPr>
          <w:t xml:space="preserve">14</w:t>
        </w:r>
      </w:hyperlink>
      <w:r>
        <w:t xml:space="preserve"> </w:t>
      </w:r>
      <w:r>
        <w:t xml:space="preserve">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constant,</w:t>
      </w:r>
      <w:r>
        <w:t xml:space="preserve"> </w:t>
      </w:r>
      <m:oMath>
        <m:sSubSup>
          <m:e>
            <m:r>
              <m:t>K</m:t>
            </m:r>
          </m:e>
          <m:sub>
            <m:r>
              <m:t>x</m:t>
            </m:r>
          </m:sub>
          <m:sup>
            <m:r>
              <m:t>*</m:t>
            </m:r>
          </m:sup>
        </m:sSubSup>
      </m:oMath>
      <w:r>
        <w:t xml:space="preserve">.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When the amount of</w:t>
      </w:r>
      <w:r>
        <w:t xml:space="preserve"> </w:t>
      </w:r>
      <m:oMath>
        <m:sSub>
          <m:e>
            <m:r>
              <m:t>R</m:t>
            </m:r>
          </m:e>
          <m:sub>
            <m:r>
              <m:t>1</m:t>
            </m:r>
          </m:sub>
        </m:sSub>
      </m:oMath>
      <w:r>
        <w:t xml:space="preserve"> </w:t>
      </w:r>
      <w:r>
        <w:t xml:space="preserve">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 This situation might correspond to some cue inducing expression of a receptor, such as interferon-induced upregulation of MHC and regulatory T cell upregulation of IL-2R⍺.</w:t>
      </w:r>
      <w:hyperlink w:anchor="ref-11Hb1fNV6">
        <w:r>
          <w:rPr>
            <w:rStyle w:val="Hyperlink"/>
            <w:vertAlign w:val="superscript"/>
          </w:rPr>
          <w:t xml:space="preserve">15</w:t>
        </w:r>
      </w:hyperlink>
    </w:p>
    <w:p>
      <w:pPr>
        <w:pStyle w:val="BodyText"/>
      </w:pPr>
      <w:r>
        <w:t xml:space="preserve">To analyze more general cases, we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To account for cell-to-cell heterogeneity, we also defined intrapopulation variability.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p>
      <w:pPr>
        <w:pStyle w:val="Heading3"/>
      </w:pPr>
      <w:bookmarkStart w:id="34" w:name="X3f454457126066982ffeefe0ffacd278d4d7c10"/>
      <w:r>
        <w:t xml:space="preserve">Affinity Provides Selectivity Toward Cell Populations with Divergent Receptor Expression</w:t>
      </w:r>
      <w:bookmarkEnd w:id="34"/>
    </w:p>
    <w:bookmarkStart w:id="0" w:name="fig:affinity"/>
    <w:p>
      <w:pPr>
        <w:pStyle w:val="CaptionedFigure"/>
      </w:pPr>
      <w:bookmarkStart w:id="35"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5"/>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p>
      <w:pPr>
        <w:pStyle w:val="Heading3"/>
      </w:pPr>
      <w:bookmarkStart w:id="36" w:name="Xbf61cf771d8dee967b9caf4848bd57facde9c74"/>
      <w:r>
        <w:t xml:space="preserve">Valency Enables Selectivity Based on Quantitative Differences in Receptor Abundance</w:t>
      </w:r>
      <w:bookmarkEnd w:id="36"/>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Previous work has shown that our binding model can accurately predict the complicated multivalent binding process between IgG antibodies and Fcγ receptors.</w:t>
      </w:r>
      <w:hyperlink w:anchor="ref-11gk5tUo7">
        <w:r>
          <w:rPr>
            <w:rStyle w:val="Hyperlink"/>
            <w:vertAlign w:val="superscript"/>
          </w:rPr>
          <w:t xml:space="preserve">16</w:t>
        </w:r>
      </w:hyperlink>
      <w:r>
        <w:t xml:space="preserve"> </w:t>
      </w:r>
      <w:r>
        <w:t xml:space="preserve">To further demonstrate our model’s capacity to predict multivalent binding activity, we fit our model to previous experimental measurements wherein fluorescently labeled nanorings were assembled with specific numbers of binding units.</w:t>
      </w:r>
      <w:hyperlink w:anchor="ref-u2Cb0DBq">
        <w:r>
          <w:rPr>
            <w:rStyle w:val="Hyperlink"/>
            <w:vertAlign w:val="superscript"/>
          </w:rPr>
          <w:t xml:space="preserve">17</w:t>
        </w:r>
      </w:hyperlink>
      <w:r>
        <w:t xml:space="preserve"> </w:t>
      </w:r>
      <w:r>
        <w:t xml:space="preserve">After fitting to determine the crosslinking coefficient and receptor affinity values, our model was able to accurately match the binding of nanorings with four or eight binding units to cells expressing a known abundance of receptor partners (Fig.</w:t>
      </w:r>
      <w:r>
        <w:t xml:space="preserve"> </w:t>
      </w:r>
      <w:hyperlink w:anchor="fig:Csizmar">
        <w:r>
          <w:rPr>
            <w:rStyle w:val="Hyperlink"/>
          </w:rPr>
          <w:t xml:space="preserve">8</w:t>
        </w:r>
      </w:hyperlink>
      <w:r>
        <w:t xml:space="preserve">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IanZRiFA">
        <w:r>
          <w:rPr>
            <w:rStyle w:val="Hyperlink"/>
            <w:vertAlign w:val="superscript"/>
          </w:rPr>
          <w:t xml:space="preserve">18</w:t>
        </w:r>
      </w:hyperlink>
      <w:r>
        <w:t xml:space="preserve"> </w:t>
      </w:r>
      <w:r>
        <w:t xml:space="preserve">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w:t>
      </w:r>
      <w:r>
        <w:t xml:space="preserve">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is shown by our model, and as many previous studies have suggested, multi-valent ligands can demonstrate particular selectivity to target populations with high receptor abundances when their subunits have low affinity to the receptors.</w:t>
      </w:r>
      <w:hyperlink w:anchor="ref-B0xrCfE3">
        <w:r>
          <w:rPr>
            <w:rStyle w:val="Hyperlink"/>
            <w:vertAlign w:val="superscript"/>
          </w:rPr>
          <w:t xml:space="preserve">13</w:t>
        </w:r>
      </w:hyperlink>
      <w:r>
        <w:rPr>
          <w:vertAlign w:val="superscript"/>
        </w:rPr>
        <w:t xml:space="preserve">,</w:t>
      </w:r>
      <w:hyperlink w:anchor="ref-u2Cb0DBq">
        <w:r>
          <w:rPr>
            <w:rStyle w:val="Hyperlink"/>
            <w:vertAlign w:val="superscript"/>
          </w:rPr>
          <w:t xml:space="preserve">17</w:t>
        </w:r>
      </w:hyperlink>
      <w:r>
        <w:t xml:space="preserve"> </w:t>
      </w:r>
      <w:r>
        <w:t xml:space="preserve">Comparing binding between cell populations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7"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7"/>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p>
      <w:pPr>
        <w:pStyle w:val="Heading3"/>
      </w:pPr>
      <w:bookmarkStart w:id="38" w:name="X7f819264ae88ea78993615f064bd20b2428e55e"/>
      <w:r>
        <w:t xml:space="preserve">Non-Overlapping Ligand Targeting Drives a Limited Selectivity Enhancement of Mixtures</w:t>
      </w:r>
      <w:bookmarkEnd w:id="38"/>
    </w:p>
    <w:p>
      <w:pPr>
        <w:pStyle w:val="FirstParagraph"/>
      </w:pPr>
      <w:r>
        <w:t xml:space="preserve">While most therapies rely on the action of a single molecular species, mixtures may enhance selectivity through combinations of actions.</w:t>
      </w:r>
      <w:hyperlink w:anchor="ref-luDqQ0zL">
        <w:r>
          <w:rPr>
            <w:rStyle w:val="Hyperlink"/>
            <w:vertAlign w:val="superscript"/>
          </w:rPr>
          <w:t xml:space="preserve">19</w:t>
        </w:r>
      </w:hyperlink>
      <w:r>
        <w:t xml:space="preserve"> </w:t>
      </w:r>
      <w:r>
        <w:t xml:space="preserve">Furthermore, some biologics inevitably act as mixtures of species through heterogeneity in glycosylation and the presence of endogenous ligands.</w:t>
      </w:r>
      <w:hyperlink w:anchor="ref-eR2h4yr3">
        <w:r>
          <w:rPr>
            <w:rStyle w:val="Hyperlink"/>
            <w:vertAlign w:val="superscript"/>
          </w:rPr>
          <w:t xml:space="preserve">20</w:t>
        </w:r>
      </w:hyperlink>
      <w:r>
        <w:t xml:space="preserve"> </w:t>
      </w:r>
      <w:r>
        <w:t xml:space="preserve">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respectively (Fig.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11gk5tUo7">
        <w:r>
          <w:rPr>
            <w:rStyle w:val="Hyperlink"/>
            <w:vertAlign w:val="superscript"/>
          </w:rPr>
          <w:t xml:space="preserve">16</w:t>
        </w:r>
      </w:hyperlink>
      <w:r>
        <w:rPr>
          <w:vertAlign w:val="superscript"/>
        </w:rPr>
        <w:t xml:space="preserve">,</w:t>
      </w:r>
      <w:hyperlink w:anchor="ref-8lU1hNlA">
        <w:r>
          <w:rPr>
            <w:rStyle w:val="Hyperlink"/>
            <w:vertAlign w:val="superscript"/>
          </w:rPr>
          <w:t xml:space="preserve">21</w:t>
        </w:r>
      </w:hyperlink>
    </w:p>
    <w:bookmarkStart w:id="0" w:name="fig:mixture"/>
    <w:p>
      <w:pPr>
        <w:pStyle w:val="CaptionedFigure"/>
      </w:pPr>
      <w:bookmarkStart w:id="39"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bookmarkEnd w:id="39"/>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b-e) Ratio of ligand bound to cell populations exposed to monovalent mixtures of ligand one and 2. For b-d, the ratio of the target population to the single off target population with the greatest ligand bound is plotted.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w:t>
      </w:r>
    </w:p>
    <w:bookmarkEnd w:id="0"/>
    <w:p>
      <w:pPr>
        <w:pStyle w:val="Heading3"/>
      </w:pPr>
      <w:bookmarkStart w:id="40" w:name="X6121a27614a240825e6e8895d4acf0ebac196e1"/>
      <w:r>
        <w:t xml:space="preserve">Heterovalent Bispecific Ligands Exhibit Unique Charateristics When Activated Fully Bound</w:t>
      </w:r>
      <w:bookmarkEnd w:id="40"/>
    </w:p>
    <w:p>
      <w:pPr>
        <w:pStyle w:val="FirstParagraph"/>
      </w:pPr>
      <w:r>
        <w:t xml:space="preserve">Constructing multispecific drugs has become a promising new strategy for finer target cell specificity with the advancement of engineering techniques.</w:t>
      </w:r>
      <w:hyperlink w:anchor="ref-iG3t9Py2">
        <w:r>
          <w:rPr>
            <w:rStyle w:val="Hyperlink"/>
            <w:vertAlign w:val="superscript"/>
          </w:rPr>
          <w:t xml:space="preserve">22</w:t>
        </w:r>
      </w:hyperlink>
      <w:r>
        <w:t xml:space="preserve"> </w:t>
      </w:r>
      <w:r>
        <w:t xml:space="preserve">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18yoQOgm4">
        <w:r>
          <w:rPr>
            <w:rStyle w:val="Hyperlink"/>
            <w:vertAlign w:val="superscript"/>
          </w:rPr>
          <w:t xml:space="preserve">23</w:t>
        </w:r>
      </w:hyperlink>
      <w:r>
        <w:rPr>
          <w:vertAlign w:val="superscript"/>
        </w:rPr>
        <w:t xml:space="preserve">,</w:t>
      </w:r>
      <w:hyperlink w:anchor="ref-y7JtEfom">
        <w:r>
          <w:rPr>
            <w:rStyle w:val="Hyperlink"/>
            <w:vertAlign w:val="superscript"/>
          </w:rPr>
          <w:t xml:space="preserve">24</w:t>
        </w:r>
      </w:hyperlink>
      <w:r>
        <w:t xml:space="preserve"> </w:t>
      </w:r>
      <w:r>
        <w:t xml:space="preserve">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For the heterovalent bispecific case, ligand fully bound will only account for the amount of ligand with both of their ligand monomers bind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w:t>
      </w:r>
      <w:r>
        <w:t xml:space="preserve"> </w:t>
      </w:r>
      <m:oMath>
        <m:sSubSup>
          <m:e>
            <m:r>
              <m:t>K</m:t>
            </m:r>
          </m:e>
          <m:sub>
            <m:r>
              <m:t>x</m:t>
            </m:r>
          </m:sub>
          <m:sup>
            <m:r>
              <m:t>*</m:t>
            </m:r>
          </m:sup>
        </m:sSubSup>
      </m:oMath>
      <w:r>
        <w:t xml:space="preserve">. It describes how easily a multivalent ligand bound to a cell monovalently can attain secondary binding.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drugs versus another drugs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much larger more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both therapeutics in comparison only account for fully bound ligands,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can only be effective when both of their subunits bind and crosslinking is more difficult.</w:t>
      </w:r>
    </w:p>
    <w:bookmarkStart w:id="0" w:name="fig:bispecific"/>
    <w:p>
      <w:pPr>
        <w:pStyle w:val="CaptionedFigure"/>
      </w:pPr>
      <w:bookmarkStart w:id="41"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bookmarkEnd w:id="41"/>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w:t>
      </w:r>
    </w:p>
    <w:bookmarkEnd w:id="0"/>
    <w:p>
      <w:pPr>
        <w:pStyle w:val="Heading3"/>
      </w:pPr>
      <w:bookmarkStart w:id="42" w:name="X5a8bba87a1565e1cc47943d74aa22985ccf8689"/>
      <w:r>
        <w:t xml:space="preserve">Combining Strategies For Superior Selectivity</w:t>
      </w:r>
      <w:bookmarkEnd w:id="42"/>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(Fig.</w:t>
      </w:r>
      <w:r>
        <w:t xml:space="preserve"> </w:t>
      </w:r>
      <w:hyperlink w:anchor="fig:combination">
        <w:r>
          <w:rPr>
            <w:rStyle w:val="Hyperlink"/>
          </w:rPr>
          <w:t xml:space="preserve">6</w:t>
        </w:r>
      </w:hyperlink>
      <w:r>
        <w:t xml:space="preserve">). To simulate the effects of affinity engineering, we allowed ligand-receptor affinities to vary. To understand the effects of valency and mixture engineering on selectivity, we allowed ligand valency and ligand mixture composition to vary, while also allowing affinity to vary due to the previously noted reliance that these strategies have on receptor-ligand kinetics. Finally, all ligand parameters were allowed to vary to simulate the effects of combining therapeutic engineering approaches.</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y7JtEfom">
        <w:r>
          <w:rPr>
            <w:rStyle w:val="Hyperlink"/>
            <w:vertAlign w:val="superscript"/>
          </w:rPr>
          <w:t xml:space="preserve">24</w:t>
        </w:r>
      </w:hyperlink>
    </w:p>
    <w:bookmarkStart w:id="0" w:name="fig:combination"/>
    <w:p>
      <w:pPr>
        <w:pStyle w:val="CaptionedFigure"/>
      </w:pPr>
      <w:bookmarkStart w:id="43"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3"/>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Xnot ligands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Heading3"/>
      </w:pPr>
      <w:bookmarkStart w:id="44" w:name="X94d61dc6a943133c806d80032df7da8a7f37fba"/>
      <w:r>
        <w:t xml:space="preserve">Using Binding Competition to Invert Receptor Targeting</w:t>
      </w:r>
      <w:bookmarkEnd w:id="44"/>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could invert this relationship.</w:t>
      </w:r>
    </w:p>
    <w:p>
      <w:pPr>
        <w:pStyle w:val="BodyText"/>
      </w:pPr>
      <w:r>
        <w:t xml:space="preserve">To investigate the effect of ligand competition with an antagonist, we modeled mixtures of ligands, but only quantified the amount of binding for the active ligand. As binding is dependent upon the properties of both ligands,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5"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bookmarkEnd w:id="45"/>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Heatmap values are normalized to specificity imparted with non-binding antagonists. Only amount of agonist bound is considered in determination of selectivity. b-d) Heatmap of agonist (b), and antagonist (c) ligand bound for antagonist and agonist ligand combination shown to imaprt greatest selectivity improvement in (a). d) Heatmap of agonist bound in b,c when no antagonist is present.</w:t>
      </w:r>
    </w:p>
    <w:bookmarkEnd w:id="0"/>
    <w:p>
      <w:pPr>
        <w:pStyle w:val="Heading2"/>
      </w:pPr>
      <w:bookmarkStart w:id="46" w:name="discussion"/>
      <w:r>
        <w:t xml:space="preserve">Discussion</w:t>
      </w:r>
      <w:bookmarkEnd w:id="46"/>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three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selection of target populations based on their lack of receptor expression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implementing this may be challenging.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strategies we explored are already utilized in existing engineered therapies. For example, affinity changes to the cytokine IL-2 have been used to bias its effects towards either effector or regulatory immune populations.</w:t>
      </w:r>
      <w:hyperlink w:anchor="ref-FqWAsZ7z">
        <w:r>
          <w:rPr>
            <w:rStyle w:val="Hyperlink"/>
            <w:vertAlign w:val="superscript"/>
          </w:rPr>
          <w:t xml:space="preserve">25</w:t>
        </w:r>
      </w:hyperlink>
      <w:r>
        <w:rPr>
          <w:vertAlign w:val="superscript"/>
        </w:rPr>
        <w:t xml:space="preserve">,</w:t>
      </w:r>
      <w:hyperlink w:anchor="ref-L2k7ECfb">
        <w:r>
          <w:rPr>
            <w:rStyle w:val="Hyperlink"/>
            <w:vertAlign w:val="superscript"/>
          </w:rPr>
          <w:t xml:space="preserve">26</w:t>
        </w:r>
      </w:hyperlink>
      <w:r>
        <w:t xml:space="preserve"> </w:t>
      </w:r>
      <w:r>
        <w:t xml:space="preserve">Varying the valency of tumor-targeted antibodies leads to selective cell clearance based upon the levels of expressed antigen.</w:t>
      </w:r>
      <w:hyperlink w:anchor="ref-IanZRiFA">
        <w:r>
          <w:rPr>
            <w:rStyle w:val="Hyperlink"/>
            <w:vertAlign w:val="superscript"/>
          </w:rPr>
          <w:t xml:space="preserve">18</w:t>
        </w:r>
      </w:hyperlink>
      <w:r>
        <w:t xml:space="preserve"> </w:t>
      </w:r>
      <w:r>
        <w:t xml:space="preserve">Manipulating of the affinities of the fibronectin domains on octovalent nanorings was shown to enhance the selectivity of binding to cancerous cells displaying relatively higher densities of fibronectin receptors compared to native tissue.</w:t>
      </w:r>
      <w:hyperlink w:anchor="ref-u2Cb0DBq">
        <w:r>
          <w:rPr>
            <w:rStyle w:val="Hyperlink"/>
            <w:vertAlign w:val="superscript"/>
          </w:rPr>
          <w:t xml:space="preserve">17</w:t>
        </w:r>
      </w:hyperlink>
      <w:r>
        <w:t xml:space="preserve"> </w:t>
      </w:r>
      <w:r>
        <w:t xml:space="preserve">The tendency of low-affinity, multivalent interactions to target cells expressing high receptor abundances was also described in a study describing the selectivity of multivalent antibody binding to tumor cells bound by a bispecific therapeutic ligand.</w:t>
      </w:r>
      <w:hyperlink w:anchor="ref-B0xrCfE3">
        <w:r>
          <w:rPr>
            <w:rStyle w:val="Hyperlink"/>
            <w:vertAlign w:val="superscript"/>
          </w:rPr>
          <w:t xml:space="preserve">13</w:t>
        </w:r>
      </w:hyperlink>
      <w:r>
        <w:t xml:space="preserve"> </w:t>
      </w:r>
      <w:r>
        <w:t xml:space="preserve">These examples lend support to the accuracy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3WVNxYBN">
        <w:r>
          <w:rPr>
            <w:rStyle w:val="Hyperlink"/>
            <w:vertAlign w:val="superscript"/>
          </w:rPr>
          <w:t xml:space="preserve">27</w:t>
        </w:r>
      </w:hyperlink>
      <w:r>
        <w:rPr>
          <w:vertAlign w:val="superscript"/>
        </w:rPr>
        <w:t xml:space="preserve">,</w:t>
      </w:r>
      <w:hyperlink w:anchor="ref-PIRfSNMl">
        <w:r>
          <w:rPr>
            <w:rStyle w:val="Hyperlink"/>
            <w:vertAlign w:val="superscript"/>
          </w:rPr>
          <w:t xml:space="preserve">28</w:t>
        </w:r>
      </w:hyperlink>
      <w:r>
        <w:t xml:space="preserve"> </w:t>
      </w:r>
      <w:r>
        <w:t xml:space="preserve">or downregulating</w:t>
      </w:r>
      <w:hyperlink w:anchor="ref-uMIi8rGN">
        <w:r>
          <w:rPr>
            <w:rStyle w:val="Hyperlink"/>
            <w:vertAlign w:val="superscript"/>
          </w:rPr>
          <w:t xml:space="preserve">29</w:t>
        </w:r>
      </w:hyperlink>
      <w:r>
        <w:t xml:space="preserve"> </w:t>
      </w:r>
      <w:r>
        <w:t xml:space="preserve">the expression of certain receptors. In this case, both the current and potential abundance of each receptor must be considered.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ref-bi6A2xzH">
        <w:r>
          <w:rPr>
            <w:rStyle w:val="Hyperlink"/>
            <w:vertAlign w:val="superscript"/>
          </w:rPr>
          <w:t xml:space="preserve">30</w:t>
        </w:r>
      </w:hyperlink>
      <w:r>
        <w:t xml:space="preserve"> </w:t>
      </w:r>
      <w:r>
        <w:t xml:space="preserve">Human engineered chimeric antigen receptor (CAR) T cells have enhanced the potential to selectively recognize and attack malignant tissues.</w:t>
      </w:r>
      <w:hyperlink w:anchor="ref-Fp4dDXV1">
        <w:r>
          <w:rPr>
            <w:rStyle w:val="Hyperlink"/>
            <w:vertAlign w:val="superscript"/>
          </w:rPr>
          <w:t xml:space="preserve">31</w:t>
        </w:r>
      </w:hyperlink>
      <w:r>
        <w:t xml:space="preserve"> </w:t>
      </w:r>
      <w:r>
        <w:t xml:space="preserve">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p>
      <w:pPr>
        <w:pStyle w:val="Heading2"/>
      </w:pPr>
      <w:bookmarkStart w:id="47" w:name="materials-and-methods"/>
      <w:r>
        <w:t xml:space="preserve">Materials and Methods</w:t>
      </w:r>
      <w:bookmarkEnd w:id="47"/>
    </w:p>
    <w:p>
      <w:pPr>
        <w:pStyle w:val="Heading3"/>
      </w:pPr>
      <w:bookmarkStart w:id="48" w:name="data-and-software-availability"/>
      <w:r>
        <w:t xml:space="preserve">Data and Software Availability</w:t>
      </w:r>
      <w:bookmarkEnd w:id="48"/>
    </w:p>
    <w:p>
      <w:pPr>
        <w:pStyle w:val="FirstParagraph"/>
      </w:pPr>
      <w:r>
        <w:t xml:space="preserve">All analysis was implemented in Python v3.8, and can be found at</w:t>
      </w:r>
      <w:r>
        <w:t xml:space="preserve"> </w:t>
      </w:r>
      <w:hyperlink r:id="rId49">
        <w:r>
          <w:rPr>
            <w:rStyle w:val="Hyperlink"/>
          </w:rPr>
          <w:t xml:space="preserve">https://github.com/meyer-lab/cell-selective-ligands</w:t>
        </w:r>
      </w:hyperlink>
      <w:r>
        <w:t xml:space="preserve">.</w:t>
      </w:r>
    </w:p>
    <w:p>
      <w:pPr>
        <w:pStyle w:val="Heading3"/>
      </w:pPr>
      <w:bookmarkStart w:id="50" w:name="Xbc4502bc21dcbb32d50a52a1b617accc52dd1c2"/>
      <w:r>
        <w:t xml:space="preserve">Generalized multi-ligand, multi-receptor multivalent binding model</w:t>
      </w:r>
      <w:bookmarkEnd w:id="50"/>
    </w:p>
    <w:p>
      <w:pPr>
        <w:pStyle w:val="FirstParagraph"/>
      </w:pPr>
      <w:r>
        <w:t xml:space="preserve">To model multivalent ligand complexes, we extended our previous binding model to the multi-ligand case.</w:t>
      </w:r>
      <w:hyperlink w:anchor="ref-11gk5tUo7">
        <w:r>
          <w:rPr>
            <w:rStyle w:val="Hyperlink"/>
            <w:vertAlign w:val="superscript"/>
          </w:rPr>
          <w:t xml:space="preserve">16</w:t>
        </w:r>
      </w:hyperlink>
      <w:r>
        <w:t xml:space="preserve"> </w:t>
      </w:r>
      <w:r>
        <w:t xml:space="preserve">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bind to at least one receptor on the cell is</w:t>
      </w:r>
    </w:p>
    <w:p>
      <w:pPr>
        <w:pStyle w:val="BodyText"/>
      </w:pPr>
      <w:r>
        <w:t xml:space="preserve">$$ L_{\mathrm{bound}} = \frac{L_0}{K_x^* } \left [\left(\sum_{i=1\\ j=0}^{i=N_L\\ j=N_R}{{φ_{ij}}^{q_{ij}}}\right)^f -1 \right] .$$</w:t>
      </w:r>
    </w:p>
    <w:p>
      <w:pPr>
        <w:pStyle w:val="Heading3"/>
      </w:pPr>
      <w:bookmarkStart w:id="51" w:name="X24bd08806ffb8547c5a72680f5305356ed2b829"/>
      <w:r>
        <w:t xml:space="preserve">Generalized multivalent binding model with defined complexes</w:t>
      </w:r>
      <w:bookmarkEnd w:id="51"/>
    </w:p>
    <w:p>
      <w:pPr>
        <w:pStyle w:val="FirstParagraph"/>
      </w:pPr>
      <w:r>
        <w:t xml:space="preserve">When complexes are engineered and so ligands are not randomly sorted into multivalent complexes, such as with the Fabs of bispecific antibodies, the proportions of each kind of complexes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p>
      <w:pPr>
        <w:pStyle w:val="Heading3"/>
      </w:pPr>
      <w:bookmarkStart w:id="52" w:name="mathematical-optimization"/>
      <w:r>
        <w:t xml:space="preserve">Mathematical optimization</w:t>
      </w:r>
      <w:bookmarkEnd w:id="52"/>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8Miti2Gz">
        <w:r>
          <w:rPr>
            <w:rStyle w:val="Hyperlink"/>
            <w:vertAlign w:val="superscript"/>
          </w:rPr>
          <w:t xml:space="preserve">32</w:t>
        </w:r>
      </w:hyperlink>
      <w:r>
        <w:t xml:space="preserve"> </w:t>
      </w:r>
      <w:r>
        <w:t xml:space="preserve">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p>
      <w:pPr>
        <w:pStyle w:val="Heading3"/>
      </w:pPr>
      <w:bookmarkStart w:id="53" w:name="sigma-point-filter"/>
      <w:r>
        <w:t xml:space="preserve">Sigma point filter</w:t>
      </w:r>
      <w:bookmarkEnd w:id="53"/>
    </w:p>
    <w:p>
      <w:pPr>
        <w:pStyle w:val="FirstParagraph"/>
      </w:pPr>
      <w:r>
        <w:t xml:space="preserve">To consider the intrapopulation variance of a cell population in the optimization, we implemented sigma point filter,</w:t>
      </w:r>
      <w:hyperlink w:anchor="ref-VKATSjfe">
        <w:r>
          <w:rPr>
            <w:rStyle w:val="Hyperlink"/>
            <w:vertAlign w:val="superscript"/>
          </w:rPr>
          <w:t xml:space="preserve">33</w:t>
        </w:r>
      </w:hyperlink>
      <w:r>
        <w:t xml:space="preserve"> </w:t>
      </w:r>
      <w:r>
        <w:t xml:space="preserve">a computationally efficient method to approximate the variance proprogated through an ordinary differential equation-based model.</w:t>
      </w:r>
    </w:p>
    <w:p>
      <w:pPr>
        <w:pStyle w:val="Heading3"/>
      </w:pPr>
      <w:bookmarkStart w:id="54" w:name="reimplementation-of-csizmar-et-al."/>
      <w:r>
        <w:t xml:space="preserve">Reimplementation of Csizmar et al.</w:t>
      </w:r>
      <w:bookmarkEnd w:id="54"/>
    </w:p>
    <w:p>
      <w:pPr>
        <w:pStyle w:val="FirstParagraph"/>
      </w:pPr>
      <w:r>
        <w:t xml:space="preserve">To validate our model, we recapitulated multivalent binding data from Csizmar et al. using our multivalent binding model (Fig. S1).</w:t>
      </w:r>
      <w:hyperlink w:anchor="ref-u2Cb0DBq">
        <w:r>
          <w:rPr>
            <w:rStyle w:val="Hyperlink"/>
            <w:vertAlign w:val="superscript"/>
          </w:rPr>
          <w:t xml:space="preserve">17</w:t>
        </w:r>
      </w:hyperlink>
      <w:r>
        <w:t xml:space="preserve"> </w:t>
      </w:r>
      <w:r>
        <w:t xml:space="preserve">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p>
      <w:pPr>
        <w:pStyle w:val="Heading2"/>
      </w:pPr>
      <w:bookmarkStart w:id="55" w:name="supplementary-figures"/>
      <w:r>
        <w:t xml:space="preserve">Supplementary Figures</w:t>
      </w:r>
      <w:bookmarkEnd w:id="55"/>
    </w:p>
    <w:bookmarkStart w:id="0" w:name="fig:Csizmar"/>
    <w:p>
      <w:pPr>
        <w:pStyle w:val="CaptionedFigure"/>
      </w:pPr>
      <w:bookmarkStart w:id="56"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6"/>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 </w:t>
      </w:r>
      <w:hyperlink w:anchor="ref-u2Cb0DBq">
        <w:r>
          <w:rPr>
            <w:rStyle w:val="Hyperlink"/>
            <w:vertAlign w:val="superscript"/>
          </w:rPr>
          <w:t xml:space="preserve">17</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p>
      <w:pPr>
        <w:pStyle w:val="Heading2"/>
      </w:pPr>
      <w:bookmarkStart w:id="57" w:name="acknowledgements"/>
      <w:r>
        <w:t xml:space="preserve">Acknowledgements</w:t>
      </w:r>
      <w:bookmarkEnd w:id="57"/>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p>
      <w:pPr>
        <w:pStyle w:val="Heading2"/>
      </w:pPr>
      <w:bookmarkStart w:id="58" w:name="author-contributions-statement"/>
      <w:r>
        <w:t xml:space="preserve">Author contributions statement</w:t>
      </w:r>
      <w:bookmarkEnd w:id="58"/>
    </w:p>
    <w:p>
      <w:pPr>
        <w:pStyle w:val="FirstParagraph"/>
      </w:pPr>
      <w:r>
        <w:t xml:space="preserve">A.S.M. concieved of the work. All authors implemented the analysis and wrote the paper.</w:t>
      </w:r>
    </w:p>
    <w:p>
      <w:pPr>
        <w:pStyle w:val="Heading2"/>
      </w:pPr>
      <w:bookmarkStart w:id="59" w:name="references"/>
      <w:r>
        <w:t xml:space="preserve">References</w:t>
      </w:r>
      <w:bookmarkEnd w:id="59"/>
    </w:p>
    <w:bookmarkStart w:id="95" w:name="refs"/>
    <w:bookmarkStart w:id="60" w:name="ref-dr9JS306"/>
    <w:p>
      <w:pPr>
        <w:pStyle w:val="Bibliography"/>
      </w:pPr>
      <w:r>
        <w:t xml:space="preserve">1. Mittendorf, E. A.</w:t>
      </w:r>
      <w:r>
        <w:t xml:space="preserve"> </w:t>
      </w:r>
      <w:r>
        <w:rPr>
          <w:i/>
        </w:rPr>
        <w:t xml:space="preserve">et al.</w:t>
      </w:r>
      <w:r>
        <w:t xml:space="preserve"> </w:t>
      </w:r>
      <w:r>
        <w:t xml:space="preserve">Loss of HER2 Amplification Following Trastuzumab-Based Neoadjuvant Systemic Therapy and Survival Outcomes.</w:t>
      </w:r>
      <w:r>
        <w:t xml:space="preserve"> </w:t>
      </w:r>
      <w:r>
        <w:rPr>
          <w:i/>
        </w:rPr>
        <w:t xml:space="preserve">Clinical Cancer Research</w:t>
      </w:r>
      <w:r>
        <w:t xml:space="preserve"> </w:t>
      </w:r>
      <w:r>
        <w:rPr>
          <w:b/>
        </w:rPr>
        <w:t xml:space="preserve">15</w:t>
      </w:r>
      <w:r>
        <w:t xml:space="preserve">, 7381–7388 (2009).</w:t>
      </w:r>
    </w:p>
    <w:bookmarkEnd w:id="60"/>
    <w:bookmarkStart w:id="61" w:name="ref-QzzeTuTF"/>
    <w:p>
      <w:pPr>
        <w:pStyle w:val="Bibliography"/>
      </w:pPr>
      <w:r>
        <w:t xml:space="preserve">2. Turke, A. B.</w:t>
      </w:r>
      <w:r>
        <w:t xml:space="preserve"> </w:t>
      </w:r>
      <w:r>
        <w:rPr>
          <w:i/>
        </w:rPr>
        <w:t xml:space="preserve">et al.</w:t>
      </w:r>
      <w:r>
        <w:t xml:space="preserve"> </w:t>
      </w:r>
      <w:r>
        <w:t xml:space="preserve">Preexistence and clonal selection of MET amplification in EGFR mutant NSCLC.</w:t>
      </w:r>
      <w:r>
        <w:t xml:space="preserve"> </w:t>
      </w:r>
      <w:r>
        <w:rPr>
          <w:i/>
        </w:rPr>
        <w:t xml:space="preserve">Cancer Cell</w:t>
      </w:r>
      <w:r>
        <w:t xml:space="preserve"> </w:t>
      </w:r>
      <w:r>
        <w:rPr>
          <w:b/>
        </w:rPr>
        <w:t xml:space="preserve">17</w:t>
      </w:r>
      <w:r>
        <w:t xml:space="preserve">, 77–88 (2010).</w:t>
      </w:r>
    </w:p>
    <w:bookmarkEnd w:id="61"/>
    <w:bookmarkStart w:id="62" w:name="ref-10v4cJsaH"/>
    <w:p>
      <w:pPr>
        <w:pStyle w:val="Bibliography"/>
      </w:pPr>
      <w:r>
        <w:t xml:space="preserve">3. Paek, A., Liu, J., Loewer, A., Forrester, W. &amp; Lahav, G. Cell-to-Cell Variation in p53 Dynamics Leads to Fractional Killing.</w:t>
      </w:r>
      <w:r>
        <w:t xml:space="preserve"> </w:t>
      </w:r>
      <w:r>
        <w:rPr>
          <w:i/>
        </w:rPr>
        <w:t xml:space="preserve">Cell</w:t>
      </w:r>
      <w:r>
        <w:t xml:space="preserve"> </w:t>
      </w:r>
      <w:r>
        <w:rPr>
          <w:b/>
        </w:rPr>
        <w:t xml:space="preserve">165</w:t>
      </w:r>
      <w:r>
        <w:t xml:space="preserve">, 631–642 (2016).</w:t>
      </w:r>
    </w:p>
    <w:bookmarkEnd w:id="62"/>
    <w:bookmarkStart w:id="63" w:name="ref-qUZcGLd9"/>
    <w:p>
      <w:pPr>
        <w:pStyle w:val="Bibliography"/>
      </w:pPr>
      <w:r>
        <w:t xml:space="preserve">4. Maude, S. L.</w:t>
      </w:r>
      <w:r>
        <w:t xml:space="preserve"> </w:t>
      </w:r>
      <w:r>
        <w:rPr>
          <w:i/>
        </w:rPr>
        <w:t xml:space="preserve">et al.</w:t>
      </w:r>
      <w:r>
        <w:t xml:space="preserve"> </w:t>
      </w:r>
      <w:r>
        <w:t xml:space="preserve">Chimeric Antigen Receptor T Cells for Sustained Remissions in Leukemia.</w:t>
      </w:r>
      <w:r>
        <w:t xml:space="preserve"> </w:t>
      </w:r>
      <w:r>
        <w:rPr>
          <w:i/>
        </w:rPr>
        <w:t xml:space="preserve">New England Journal of Medicine</w:t>
      </w:r>
      <w:r>
        <w:t xml:space="preserve"> </w:t>
      </w:r>
      <w:r>
        <w:rPr>
          <w:b/>
        </w:rPr>
        <w:t xml:space="preserve">371</w:t>
      </w:r>
      <w:r>
        <w:t xml:space="preserve">, 1507–1517 (2014).</w:t>
      </w:r>
    </w:p>
    <w:bookmarkEnd w:id="63"/>
    <w:bookmarkStart w:id="64" w:name="ref-63ewQnLP"/>
    <w:p>
      <w:pPr>
        <w:pStyle w:val="Bibliography"/>
      </w:pPr>
      <w:r>
        <w:t xml:space="preserve">5. O’Rourke, D. M.</w:t>
      </w:r>
      <w:r>
        <w:t xml:space="preserve"> </w:t>
      </w:r>
      <w:r>
        <w:rPr>
          <w:i/>
        </w:rPr>
        <w:t xml:space="preserve">et al.</w:t>
      </w:r>
      <w:r>
        <w:t xml:space="preserve"> </w:t>
      </w:r>
      <w:r>
        <w:t xml:space="preserve">A single dose of peripherally infused EGFRvIII-directed CAR T cells mediates antigen loss and induces adaptive resistance in patients with recurrent glioblastoma.</w:t>
      </w:r>
      <w:r>
        <w:t xml:space="preserve"> </w:t>
      </w:r>
      <w:r>
        <w:rPr>
          <w:i/>
        </w:rPr>
        <w:t xml:space="preserve">Science Translational Medicine</w:t>
      </w:r>
      <w:r>
        <w:t xml:space="preserve"> </w:t>
      </w:r>
      <w:r>
        <w:rPr>
          <w:b/>
        </w:rPr>
        <w:t xml:space="preserve">9</w:t>
      </w:r>
      <w:r>
        <w:t xml:space="preserve">, eaaa0984 (2017).</w:t>
      </w:r>
    </w:p>
    <w:bookmarkEnd w:id="64"/>
    <w:bookmarkStart w:id="65" w:name="ref-3qk2Wsrw"/>
    <w:p>
      <w:pPr>
        <w:pStyle w:val="Bibliography"/>
      </w:pPr>
      <w:r>
        <w:t xml:space="preserve">6. Shalek, A. K.</w:t>
      </w:r>
      <w:r>
        <w:t xml:space="preserve"> </w:t>
      </w:r>
      <w:r>
        <w:rPr>
          <w:i/>
        </w:rPr>
        <w:t xml:space="preserve">et al.</w:t>
      </w:r>
      <w:r>
        <w:t xml:space="preserve"> </w:t>
      </w:r>
      <w:r>
        <w:t xml:space="preserve">Single-cell RNA-seq reveals dynamic paracrine control of cellular variation.</w:t>
      </w:r>
      <w:r>
        <w:t xml:space="preserve"> </w:t>
      </w:r>
      <w:r>
        <w:rPr>
          <w:i/>
        </w:rPr>
        <w:t xml:space="preserve">Nature</w:t>
      </w:r>
      <w:r>
        <w:t xml:space="preserve"> </w:t>
      </w:r>
      <w:r>
        <w:rPr>
          <w:b/>
        </w:rPr>
        <w:t xml:space="preserve">510</w:t>
      </w:r>
      <w:r>
        <w:t xml:space="preserve">, 363–9 (2014).</w:t>
      </w:r>
    </w:p>
    <w:bookmarkEnd w:id="65"/>
    <w:bookmarkStart w:id="66" w:name="ref-pF89Nm4u"/>
    <w:p>
      <w:pPr>
        <w:pStyle w:val="Bibliography"/>
      </w:pPr>
      <w:r>
        <w:t xml:space="preserve">7. Mitra, S.</w:t>
      </w:r>
      <w:r>
        <w:t xml:space="preserve"> </w:t>
      </w:r>
      <w:r>
        <w:rPr>
          <w:i/>
        </w:rPr>
        <w:t xml:space="preserve">et al.</w:t>
      </w:r>
      <w:r>
        <w:t xml:space="preserve"> </w:t>
      </w:r>
      <w:r>
        <w:t xml:space="preserve">Interleukin-2 activity can be fine tuned with engineered receptor signaling clamps.</w:t>
      </w:r>
      <w:r>
        <w:t xml:space="preserve"> </w:t>
      </w:r>
      <w:r>
        <w:rPr>
          <w:i/>
        </w:rPr>
        <w:t xml:space="preserve">Immunity</w:t>
      </w:r>
      <w:r>
        <w:t xml:space="preserve"> </w:t>
      </w:r>
      <w:r>
        <w:rPr>
          <w:b/>
        </w:rPr>
        <w:t xml:space="preserve">42</w:t>
      </w:r>
      <w:r>
        <w:t xml:space="preserve">, 826–38 (2015).</w:t>
      </w:r>
    </w:p>
    <w:bookmarkEnd w:id="66"/>
    <w:bookmarkStart w:id="67" w:name="ref-GCbN2SKa"/>
    <w:p>
      <w:pPr>
        <w:pStyle w:val="Bibliography"/>
      </w:pPr>
      <w:r>
        <w:t xml:space="preserve">8. Chen, Z.</w:t>
      </w:r>
      <w:r>
        <w:t xml:space="preserve"> </w:t>
      </w:r>
      <w:r>
        <w:rPr>
          <w:i/>
        </w:rPr>
        <w:t xml:space="preserve">et al.</w:t>
      </w:r>
      <w:r>
        <w:t xml:space="preserve"> </w:t>
      </w:r>
      <w:r>
        <w:t xml:space="preserve">De novo design of protein logic gates.</w:t>
      </w:r>
      <w:r>
        <w:t xml:space="preserve"> </w:t>
      </w:r>
      <w:r>
        <w:rPr>
          <w:i/>
        </w:rPr>
        <w:t xml:space="preserve">Science</w:t>
      </w:r>
      <w:r>
        <w:t xml:space="preserve"> </w:t>
      </w:r>
      <w:r>
        <w:rPr>
          <w:b/>
        </w:rPr>
        <w:t xml:space="preserve">368</w:t>
      </w:r>
      <w:r>
        <w:t xml:space="preserve">, 78–84 (2020).</w:t>
      </w:r>
    </w:p>
    <w:bookmarkEnd w:id="67"/>
    <w:bookmarkStart w:id="68" w:name="ref-4XrP8kd6"/>
    <w:p>
      <w:pPr>
        <w:pStyle w:val="Bibliography"/>
      </w:pPr>
      <w:r>
        <w:t xml:space="preserve">9. Srivastava, S.</w:t>
      </w:r>
      <w:r>
        <w:t xml:space="preserve"> </w:t>
      </w:r>
      <w:r>
        <w:rPr>
          <w:i/>
        </w:rPr>
        <w:t xml:space="preserve">et al.</w:t>
      </w:r>
      <w:r>
        <w:t xml:space="preserve"> </w:t>
      </w:r>
      <w:r>
        <w:t xml:space="preserve">Logic-Gated ROR1 Chimeric Antigen Receptor Expression Rescues T Cell-Mediated Toxicity to Normal Tissues and Enables Selective Tumor Targeting.</w:t>
      </w:r>
      <w:r>
        <w:t xml:space="preserve"> </w:t>
      </w:r>
      <w:r>
        <w:rPr>
          <w:i/>
        </w:rPr>
        <w:t xml:space="preserve">Cancer Cell</w:t>
      </w:r>
      <w:r>
        <w:t xml:space="preserve"> </w:t>
      </w:r>
      <w:r>
        <w:rPr>
          <w:b/>
        </w:rPr>
        <w:t xml:space="preserve">35</w:t>
      </w:r>
      <w:r>
        <w:t xml:space="preserve">, 489–503.e8 (2019).</w:t>
      </w:r>
    </w:p>
    <w:bookmarkEnd w:id="68"/>
    <w:bookmarkStart w:id="69" w:name="ref-TZjxCK1M"/>
    <w:p>
      <w:pPr>
        <w:pStyle w:val="Bibliography"/>
      </w:pPr>
      <w:r>
        <w:t xml:space="preserve">10. Cho, J. H., Collins, J. J. &amp; Wong, W. W. Universal Chimeric Antigen Receptors for Multiplexed and Logical Control of T Cell Responses.</w:t>
      </w:r>
      <w:r>
        <w:t xml:space="preserve"> </w:t>
      </w:r>
      <w:r>
        <w:rPr>
          <w:i/>
        </w:rPr>
        <w:t xml:space="preserve">Cell</w:t>
      </w:r>
      <w:r>
        <w:t xml:space="preserve"> </w:t>
      </w:r>
      <w:r>
        <w:rPr>
          <w:b/>
        </w:rPr>
        <w:t xml:space="preserve">173</w:t>
      </w:r>
      <w:r>
        <w:t xml:space="preserve">, 1426–1438.e11 (2018).</w:t>
      </w:r>
    </w:p>
    <w:bookmarkEnd w:id="69"/>
    <w:bookmarkStart w:id="71" w:name="ref-12Gx1OssI"/>
    <w:p>
      <w:pPr>
        <w:pStyle w:val="Bibliography"/>
      </w:pPr>
      <w:r>
        <w:t xml:space="preserve">11. Ianevski, A., Giri, A. K. &amp; Aittokallio, T. Fully-automated cell-type identification with specific markers extracted from single-cell transcriptomic data.</w:t>
      </w:r>
      <w:r>
        <w:t xml:space="preserve"> </w:t>
      </w:r>
      <w:r>
        <w:rPr>
          <w:i/>
        </w:rPr>
        <w:t xml:space="preserve">bioRxiv</w:t>
      </w:r>
      <w:r>
        <w:t xml:space="preserve"> </w:t>
      </w:r>
      <w:r>
        <w:t xml:space="preserve">(2019). doi:</w:t>
      </w:r>
      <w:hyperlink r:id="rId70">
        <w:r>
          <w:rPr>
            <w:rStyle w:val="Hyperlink"/>
          </w:rPr>
          <w:t xml:space="preserve">10.1101/812131</w:t>
        </w:r>
      </w:hyperlink>
    </w:p>
    <w:bookmarkEnd w:id="71"/>
    <w:bookmarkStart w:id="72" w:name="ref-10kZoPeON"/>
    <w:p>
      <w:pPr>
        <w:pStyle w:val="Bibliography"/>
      </w:pPr>
      <w:r>
        <w:t xml:space="preserve">12. Robinson, M. K.</w:t>
      </w:r>
      <w:r>
        <w:t xml:space="preserve"> </w:t>
      </w:r>
      <w:r>
        <w:rPr>
          <w:i/>
        </w:rPr>
        <w:t xml:space="preserve">et al.</w:t>
      </w:r>
      <w:r>
        <w:t xml:space="preserve"> </w:t>
      </w:r>
      <w:r>
        <w:t xml:space="preserve">Targeting ErbB2 and ErbB3 with a bispecific single-chain Fv enhances targeting selectivity and induces a therapeutic effect in vitro.</w:t>
      </w:r>
      <w:r>
        <w:t xml:space="preserve"> </w:t>
      </w:r>
      <w:r>
        <w:rPr>
          <w:i/>
        </w:rPr>
        <w:t xml:space="preserve">British Journal of Cancer</w:t>
      </w:r>
      <w:r>
        <w:t xml:space="preserve"> </w:t>
      </w:r>
      <w:r>
        <w:rPr>
          <w:b/>
        </w:rPr>
        <w:t xml:space="preserve">99</w:t>
      </w:r>
      <w:r>
        <w:t xml:space="preserve">, 1415–1425 (2008).</w:t>
      </w:r>
    </w:p>
    <w:bookmarkEnd w:id="72"/>
    <w:bookmarkStart w:id="73" w:name="ref-B0xrCfE3"/>
    <w:p>
      <w:pPr>
        <w:pStyle w:val="Bibliography"/>
      </w:pPr>
      <w:r>
        <w:t xml:space="preserve">13. Carlson, C. B., Mowery, P., Owen, R. M., Dykhuizen, E. C. &amp; Kiessling, L. L. Selective Tumor Cell Targeting Using Low-Affinity, Multivalent Interactions.</w:t>
      </w:r>
      <w:r>
        <w:t xml:space="preserve"> </w:t>
      </w:r>
      <w:r>
        <w:rPr>
          <w:i/>
        </w:rPr>
        <w:t xml:space="preserve">ACS Chemical Biology</w:t>
      </w:r>
      <w:r>
        <w:t xml:space="preserve"> </w:t>
      </w:r>
      <w:r>
        <w:rPr>
          <w:b/>
        </w:rPr>
        <w:t xml:space="preserve">2</w:t>
      </w:r>
      <w:r>
        <w:t xml:space="preserve">, 119–127 (2007).</w:t>
      </w:r>
    </w:p>
    <w:bookmarkEnd w:id="73"/>
    <w:bookmarkStart w:id="74" w:name="ref-LOh8Ljpe"/>
    <w:p>
      <w:pPr>
        <w:pStyle w:val="Bibliography"/>
      </w:pPr>
      <w:r>
        <w:t xml:space="preserve">14. Silva, D.-A.</w:t>
      </w:r>
      <w:r>
        <w:t xml:space="preserve"> </w:t>
      </w:r>
      <w:r>
        <w:rPr>
          <w:i/>
        </w:rPr>
        <w:t xml:space="preserve">et al.</w:t>
      </w:r>
      <w:r>
        <w:t xml:space="preserve"> </w:t>
      </w:r>
      <w:r>
        <w:t xml:space="preserve">De novo design of potent and selective mimics of IL-2 and IL-15.</w:t>
      </w:r>
      <w:r>
        <w:t xml:space="preserve"> </w:t>
      </w:r>
      <w:r>
        <w:rPr>
          <w:i/>
        </w:rPr>
        <w:t xml:space="preserve">Nature</w:t>
      </w:r>
      <w:r>
        <w:t xml:space="preserve"> </w:t>
      </w:r>
      <w:r>
        <w:rPr>
          <w:b/>
        </w:rPr>
        <w:t xml:space="preserve">565</w:t>
      </w:r>
      <w:r>
        <w:t xml:space="preserve">, 186–191 (2019).</w:t>
      </w:r>
    </w:p>
    <w:bookmarkEnd w:id="74"/>
    <w:bookmarkStart w:id="75" w:name="ref-11Hb1fNV6"/>
    <w:p>
      <w:pPr>
        <w:pStyle w:val="Bibliography"/>
      </w:pPr>
      <w:r>
        <w:t xml:space="preserve">15. Busse, D.</w:t>
      </w:r>
      <w:r>
        <w:t xml:space="preserve"> </w:t>
      </w:r>
      <w:r>
        <w:rPr>
          <w:i/>
        </w:rPr>
        <w:t xml:space="preserve">et al.</w:t>
      </w:r>
      <w:r>
        <w:t xml:space="preserve"> </w:t>
      </w:r>
      <w:r>
        <w:t xml:space="preserve">Competing feedback loops shape IL-2 signaling between helper and regulatory T lymphocytes in cellular microenvironments.</w:t>
      </w:r>
      <w:r>
        <w:t xml:space="preserve"> </w:t>
      </w:r>
      <w:r>
        <w:rPr>
          <w:i/>
        </w:rPr>
        <w:t xml:space="preserve">Proceedings of the National Academy of Sciences</w:t>
      </w:r>
      <w:r>
        <w:t xml:space="preserve"> </w:t>
      </w:r>
      <w:r>
        <w:rPr>
          <w:b/>
        </w:rPr>
        <w:t xml:space="preserve">107</w:t>
      </w:r>
      <w:r>
        <w:t xml:space="preserve">, 3058–3063 (2010).</w:t>
      </w:r>
    </w:p>
    <w:bookmarkEnd w:id="75"/>
    <w:bookmarkStart w:id="76" w:name="ref-11gk5tUo7"/>
    <w:p>
      <w:pPr>
        <w:pStyle w:val="Bibliography"/>
      </w:pPr>
      <w:r>
        <w:t xml:space="preserve">16. Robinett, R. A.</w:t>
      </w:r>
      <w:r>
        <w:t xml:space="preserve"> </w:t>
      </w:r>
      <w:r>
        <w:rPr>
          <w:i/>
        </w:rPr>
        <w:t xml:space="preserve">et al.</w:t>
      </w:r>
      <w:r>
        <w:t xml:space="preserve"> </w:t>
      </w:r>
      <w:r>
        <w:t xml:space="preserve">Dissecting FcγR Regulation through a Multivalent Binding Model.</w:t>
      </w:r>
      <w:r>
        <w:t xml:space="preserve"> </w:t>
      </w:r>
      <w:r>
        <w:rPr>
          <w:i/>
        </w:rPr>
        <w:t xml:space="preserve">Cell Syst</w:t>
      </w:r>
      <w:r>
        <w:t xml:space="preserve"> </w:t>
      </w:r>
      <w:r>
        <w:rPr>
          <w:b/>
        </w:rPr>
        <w:t xml:space="preserve">7</w:t>
      </w:r>
      <w:r>
        <w:t xml:space="preserve">, 41–48.e5 (2018).</w:t>
      </w:r>
    </w:p>
    <w:bookmarkEnd w:id="76"/>
    <w:bookmarkStart w:id="77" w:name="ref-u2Cb0DBq"/>
    <w:p>
      <w:pPr>
        <w:pStyle w:val="Bibliography"/>
      </w:pPr>
      <w:r>
        <w:t xml:space="preserve">17. Csizmar, C. M.</w:t>
      </w:r>
      <w:r>
        <w:t xml:space="preserve"> </w:t>
      </w:r>
      <w:r>
        <w:rPr>
          <w:i/>
        </w:rPr>
        <w:t xml:space="preserve">et al.</w:t>
      </w:r>
      <w:r>
        <w:t xml:space="preserve"> </w:t>
      </w:r>
      <w:r>
        <w:t xml:space="preserve">Multivalent Ligand Binding to Cell Membrane Antigens: Defining the Interplay of Affinity, Valency, and Expression Density.</w:t>
      </w:r>
      <w:r>
        <w:t xml:space="preserve"> </w:t>
      </w:r>
      <w:r>
        <w:rPr>
          <w:i/>
        </w:rPr>
        <w:t xml:space="preserve">Journal of the American Chemical Society</w:t>
      </w:r>
      <w:r>
        <w:t xml:space="preserve"> </w:t>
      </w:r>
      <w:r>
        <w:rPr>
          <w:b/>
        </w:rPr>
        <w:t xml:space="preserve">141</w:t>
      </w:r>
      <w:r>
        <w:t xml:space="preserve">, 251–261 (2018).</w:t>
      </w:r>
    </w:p>
    <w:bookmarkEnd w:id="77"/>
    <w:bookmarkStart w:id="78" w:name="ref-IanZRiFA"/>
    <w:p>
      <w:pPr>
        <w:pStyle w:val="Bibliography"/>
      </w:pPr>
      <w:r>
        <w:t xml:space="preserve">18. Mazor, Y.</w:t>
      </w:r>
      <w:r>
        <w:t xml:space="preserve"> </w:t>
      </w:r>
      <w:r>
        <w:rPr>
          <w:i/>
        </w:rPr>
        <w:t xml:space="preserve">et al.</w:t>
      </w:r>
      <w:r>
        <w:t xml:space="preserve"> </w:t>
      </w:r>
      <w:r>
        <w:t xml:space="preserve">Enhanced tumor-targeting selectivity by modulating bispecific antibody binding affinity and format valence.</w:t>
      </w:r>
      <w:r>
        <w:t xml:space="preserve"> </w:t>
      </w:r>
      <w:r>
        <w:rPr>
          <w:i/>
        </w:rPr>
        <w:t xml:space="preserve">Scientific Reports</w:t>
      </w:r>
      <w:r>
        <w:t xml:space="preserve"> </w:t>
      </w:r>
      <w:r>
        <w:rPr>
          <w:b/>
        </w:rPr>
        <w:t xml:space="preserve">7</w:t>
      </w:r>
      <w:r>
        <w:t xml:space="preserve">, (2017).</w:t>
      </w:r>
    </w:p>
    <w:bookmarkEnd w:id="78"/>
    <w:bookmarkStart w:id="79" w:name="ref-luDqQ0zL"/>
    <w:p>
      <w:pPr>
        <w:pStyle w:val="Bibliography"/>
      </w:pPr>
      <w:r>
        <w:t xml:space="preserve">19. Lehár, J.</w:t>
      </w:r>
      <w:r>
        <w:t xml:space="preserve"> </w:t>
      </w:r>
      <w:r>
        <w:rPr>
          <w:i/>
        </w:rPr>
        <w:t xml:space="preserve">et al.</w:t>
      </w:r>
      <w:r>
        <w:t xml:space="preserve"> </w:t>
      </w:r>
      <w:r>
        <w:t xml:space="preserve">Synergistic drug combinations tend to improve therapeutically relevant selectivity.</w:t>
      </w:r>
      <w:r>
        <w:t xml:space="preserve"> </w:t>
      </w:r>
      <w:r>
        <w:rPr>
          <w:i/>
        </w:rPr>
        <w:t xml:space="preserve">Nature Biotechnology</w:t>
      </w:r>
      <w:r>
        <w:t xml:space="preserve"> </w:t>
      </w:r>
      <w:r>
        <w:rPr>
          <w:b/>
        </w:rPr>
        <w:t xml:space="preserve">27</w:t>
      </w:r>
      <w:r>
        <w:t xml:space="preserve">, 659–666 (2009).</w:t>
      </w:r>
    </w:p>
    <w:bookmarkEnd w:id="79"/>
    <w:bookmarkStart w:id="80" w:name="ref-eR2h4yr3"/>
    <w:p>
      <w:pPr>
        <w:pStyle w:val="Bibliography"/>
      </w:pPr>
      <w:r>
        <w:t xml:space="preserve">20. Olivova, P., Chen, W., Chakraborty, A. B. &amp; Gebler, J. C. Determination of N-glycosylation sites and site heterogeneity in a monoclonal antibody by electrospray quadrupole ion-mobility time-of-flight mass spectrometry.</w:t>
      </w:r>
      <w:r>
        <w:t xml:space="preserve"> </w:t>
      </w:r>
      <w:r>
        <w:rPr>
          <w:i/>
        </w:rPr>
        <w:t xml:space="preserve">Rapid Communications in Mass Spectrometry</w:t>
      </w:r>
      <w:r>
        <w:t xml:space="preserve"> </w:t>
      </w:r>
      <w:r>
        <w:rPr>
          <w:b/>
        </w:rPr>
        <w:t xml:space="preserve">22</w:t>
      </w:r>
      <w:r>
        <w:t xml:space="preserve">, 29–40 (2008).</w:t>
      </w:r>
    </w:p>
    <w:bookmarkEnd w:id="80"/>
    <w:bookmarkStart w:id="81" w:name="ref-8lU1hNlA"/>
    <w:p>
      <w:pPr>
        <w:pStyle w:val="Bibliography"/>
      </w:pPr>
      <w:r>
        <w:t xml:space="preserve">21. Antebi, Y. E.</w:t>
      </w:r>
      <w:r>
        <w:t xml:space="preserve"> </w:t>
      </w:r>
      <w:r>
        <w:rPr>
          <w:i/>
        </w:rPr>
        <w:t xml:space="preserve">et al.</w:t>
      </w:r>
      <w:r>
        <w:t xml:space="preserve"> </w:t>
      </w:r>
      <w:r>
        <w:t xml:space="preserve">Combinatorial Signal Perception in the BMP Pathway.</w:t>
      </w:r>
      <w:r>
        <w:t xml:space="preserve"> </w:t>
      </w:r>
      <w:r>
        <w:rPr>
          <w:i/>
        </w:rPr>
        <w:t xml:space="preserve">Cell</w:t>
      </w:r>
      <w:r>
        <w:t xml:space="preserve"> </w:t>
      </w:r>
      <w:r>
        <w:rPr>
          <w:b/>
        </w:rPr>
        <w:t xml:space="preserve">170</w:t>
      </w:r>
      <w:r>
        <w:t xml:space="preserve">, 1184–1196.e24 (2017).</w:t>
      </w:r>
    </w:p>
    <w:bookmarkEnd w:id="81"/>
    <w:bookmarkStart w:id="82" w:name="ref-iG3t9Py2"/>
    <w:p>
      <w:pPr>
        <w:pStyle w:val="Bibliography"/>
      </w:pPr>
      <w:r>
        <w:t xml:space="preserve">22. Deshaies, R. J. Multispecific drugs herald a new era of biopharmaceutical innovation.</w:t>
      </w:r>
      <w:r>
        <w:t xml:space="preserve"> </w:t>
      </w:r>
      <w:r>
        <w:rPr>
          <w:i/>
        </w:rPr>
        <w:t xml:space="preserve">Nature</w:t>
      </w:r>
      <w:r>
        <w:t xml:space="preserve"> </w:t>
      </w:r>
      <w:r>
        <w:rPr>
          <w:b/>
        </w:rPr>
        <w:t xml:space="preserve">580</w:t>
      </w:r>
      <w:r>
        <w:t xml:space="preserve">, 329–338 (2020).</w:t>
      </w:r>
    </w:p>
    <w:bookmarkEnd w:id="82"/>
    <w:bookmarkStart w:id="83" w:name="ref-18yoQOgm4"/>
    <w:p>
      <w:pPr>
        <w:pStyle w:val="Bibliography"/>
      </w:pPr>
      <w:r>
        <w:t xml:space="preserve">23. Piccione, E. C.</w:t>
      </w:r>
      <w:r>
        <w:t xml:space="preserve"> </w:t>
      </w:r>
      <w:r>
        <w:rPr>
          <w:i/>
        </w:rPr>
        <w:t xml:space="preserve">et al.</w:t>
      </w:r>
      <w:r>
        <w:t xml:space="preserve"> </w:t>
      </w:r>
      <w:r>
        <w:t xml:space="preserve">A bispecific antibody targeting CD47 and CD20 selectively binds and eliminates dual antigen expressing lymphoma cells.</w:t>
      </w:r>
      <w:r>
        <w:t xml:space="preserve"> </w:t>
      </w:r>
      <w:r>
        <w:rPr>
          <w:i/>
        </w:rPr>
        <w:t xml:space="preserve">mAbs</w:t>
      </w:r>
      <w:r>
        <w:t xml:space="preserve"> </w:t>
      </w:r>
      <w:r>
        <w:rPr>
          <w:b/>
        </w:rPr>
        <w:t xml:space="preserve">7</w:t>
      </w:r>
      <w:r>
        <w:t xml:space="preserve">, 946–956 (2015).</w:t>
      </w:r>
    </w:p>
    <w:bookmarkEnd w:id="83"/>
    <w:bookmarkStart w:id="84" w:name="ref-y7JtEfom"/>
    <w:p>
      <w:pPr>
        <w:pStyle w:val="Bibliography"/>
      </w:pPr>
      <w:r>
        <w:t xml:space="preserve">24. Qi, J., Chen, S.-S., Chiorazzi, N. &amp; Rader, C. An IgG1-like bispecific antibody targeting CD52 and CD20 for the treatment of B-cell malignancies.</w:t>
      </w:r>
      <w:r>
        <w:t xml:space="preserve"> </w:t>
      </w:r>
      <w:r>
        <w:rPr>
          <w:i/>
        </w:rPr>
        <w:t xml:space="preserve">Methods</w:t>
      </w:r>
      <w:r>
        <w:t xml:space="preserve"> </w:t>
      </w:r>
      <w:r>
        <w:rPr>
          <w:b/>
        </w:rPr>
        <w:t xml:space="preserve">154</w:t>
      </w:r>
      <w:r>
        <w:t xml:space="preserve">, 70–76 (2018).</w:t>
      </w:r>
    </w:p>
    <w:bookmarkEnd w:id="84"/>
    <w:bookmarkStart w:id="85" w:name="ref-FqWAsZ7z"/>
    <w:p>
      <w:pPr>
        <w:pStyle w:val="Bibliography"/>
      </w:pPr>
      <w:r>
        <w:t xml:space="preserve">25. Bentebibel, S.-E.</w:t>
      </w:r>
      <w:r>
        <w:t xml:space="preserve"> </w:t>
      </w:r>
      <w:r>
        <w:rPr>
          <w:i/>
        </w:rPr>
        <w:t xml:space="preserve">et al.</w:t>
      </w:r>
      <w:r>
        <w:t xml:space="preserve"> </w:t>
      </w:r>
      <w:r>
        <w:t xml:space="preserve">A First-in-Human Study and Biomarker Analysis of NKTR-214, a Novel IL2Rβγ-Biased Cytokine, in Patients with Advanced or Metastatic Solid Tumors.</w:t>
      </w:r>
      <w:r>
        <w:t xml:space="preserve"> </w:t>
      </w:r>
      <w:r>
        <w:rPr>
          <w:i/>
        </w:rPr>
        <w:t xml:space="preserve">Cancer Discovery</w:t>
      </w:r>
      <w:r>
        <w:t xml:space="preserve"> </w:t>
      </w:r>
      <w:r>
        <w:rPr>
          <w:b/>
        </w:rPr>
        <w:t xml:space="preserve">9</w:t>
      </w:r>
      <w:r>
        <w:t xml:space="preserve">, 711–721 (2019).</w:t>
      </w:r>
    </w:p>
    <w:bookmarkEnd w:id="85"/>
    <w:bookmarkStart w:id="86" w:name="ref-L2k7ECfb"/>
    <w:p>
      <w:pPr>
        <w:pStyle w:val="Bibliography"/>
      </w:pPr>
      <w:r>
        <w:t xml:space="preserve">26. Peterson, L. B.</w:t>
      </w:r>
      <w:r>
        <w:t xml:space="preserve"> </w:t>
      </w:r>
      <w:r>
        <w:rPr>
          <w:i/>
        </w:rPr>
        <w:t xml:space="preserve">et al.</w:t>
      </w:r>
      <w:r>
        <w:t xml:space="preserve"> </w:t>
      </w:r>
      <w:r>
        <w:t xml:space="preserve">A long-lived IL-2 mutein that selectively activates and expands regulatory T cells as a therapy for autoimmune disease.</w:t>
      </w:r>
      <w:r>
        <w:t xml:space="preserve"> </w:t>
      </w:r>
      <w:r>
        <w:rPr>
          <w:i/>
        </w:rPr>
        <w:t xml:space="preserve">J Autoimmun</w:t>
      </w:r>
      <w:r>
        <w:t xml:space="preserve"> </w:t>
      </w:r>
      <w:r>
        <w:rPr>
          <w:b/>
        </w:rPr>
        <w:t xml:space="preserve">95</w:t>
      </w:r>
      <w:r>
        <w:t xml:space="preserve">, 1–14 (2018).</w:t>
      </w:r>
    </w:p>
    <w:bookmarkEnd w:id="86"/>
    <w:bookmarkStart w:id="87" w:name="ref-3WVNxYBN"/>
    <w:p>
      <w:pPr>
        <w:pStyle w:val="Bibliography"/>
      </w:pPr>
      <w:r>
        <w:t xml:space="preserve">27. Towers, C. G.</w:t>
      </w:r>
      <w:r>
        <w:t xml:space="preserve"> </w:t>
      </w:r>
      <w:r>
        <w:rPr>
          <w:i/>
        </w:rPr>
        <w:t xml:space="preserve">et al.</w:t>
      </w:r>
      <w:r>
        <w:t xml:space="preserve"> </w:t>
      </w:r>
      <w:r>
        <w:t xml:space="preserve">Cancer Cells Upregulate NRF2 Signaling to Adapt to Autophagy Inhibition.</w:t>
      </w:r>
      <w:r>
        <w:t xml:space="preserve"> </w:t>
      </w:r>
      <w:r>
        <w:rPr>
          <w:i/>
        </w:rPr>
        <w:t xml:space="preserve">Developmental Cell</w:t>
      </w:r>
      <w:r>
        <w:t xml:space="preserve"> </w:t>
      </w:r>
      <w:r>
        <w:rPr>
          <w:b/>
        </w:rPr>
        <w:t xml:space="preserve">50</w:t>
      </w:r>
      <w:r>
        <w:t xml:space="preserve">, 690–703.e6 (2019).</w:t>
      </w:r>
    </w:p>
    <w:bookmarkEnd w:id="87"/>
    <w:bookmarkStart w:id="88" w:name="ref-PIRfSNMl"/>
    <w:p>
      <w:pPr>
        <w:pStyle w:val="Bibliography"/>
      </w:pPr>
      <w:r>
        <w:t xml:space="preserve">28. Knowles, L. M.</w:t>
      </w:r>
      <w:r>
        <w:t xml:space="preserve"> </w:t>
      </w:r>
      <w:r>
        <w:rPr>
          <w:i/>
        </w:rPr>
        <w:t xml:space="preserve">et al.</w:t>
      </w:r>
      <w:r>
        <w:t xml:space="preserve"> </w:t>
      </w:r>
      <w:r>
        <w:t xml:space="preserve">Integrin v 3 and Fibronectin Upregulate Slug in Cancer Cells to Promote Clot Invasion and Metastasis.</w:t>
      </w:r>
      <w:r>
        <w:t xml:space="preserve"> </w:t>
      </w:r>
      <w:r>
        <w:rPr>
          <w:i/>
        </w:rPr>
        <w:t xml:space="preserve">Cancer Research</w:t>
      </w:r>
      <w:r>
        <w:t xml:space="preserve"> </w:t>
      </w:r>
      <w:r>
        <w:rPr>
          <w:b/>
        </w:rPr>
        <w:t xml:space="preserve">73</w:t>
      </w:r>
      <w:r>
        <w:t xml:space="preserve">, 6175–6184 (2013).</w:t>
      </w:r>
    </w:p>
    <w:bookmarkEnd w:id="88"/>
    <w:bookmarkStart w:id="89" w:name="ref-uMIi8rGN"/>
    <w:p>
      <w:pPr>
        <w:pStyle w:val="Bibliography"/>
      </w:pPr>
      <w:r>
        <w:t xml:space="preserve">29. Bubeník, J. Tumour MHC class I downregulation and immunotherapy (Review).</w:t>
      </w:r>
      <w:r>
        <w:t xml:space="preserve"> </w:t>
      </w:r>
      <w:r>
        <w:rPr>
          <w:i/>
        </w:rPr>
        <w:t xml:space="preserve">Oncol Rep</w:t>
      </w:r>
      <w:r>
        <w:t xml:space="preserve"> </w:t>
      </w:r>
      <w:r>
        <w:rPr>
          <w:b/>
        </w:rPr>
        <w:t xml:space="preserve">10</w:t>
      </w:r>
      <w:r>
        <w:t xml:space="preserve">, 2005–8</w:t>
      </w:r>
    </w:p>
    <w:bookmarkEnd w:id="89"/>
    <w:bookmarkStart w:id="90" w:name="ref-bi6A2xzH"/>
    <w:p>
      <w:pPr>
        <w:pStyle w:val="Bibliography"/>
      </w:pPr>
      <w:r>
        <w:t xml:space="preserve">30. Guedan, S., Ruella, M. &amp; June, C. H. Emerging Cellular Therapies for Cancer.</w:t>
      </w:r>
      <w:r>
        <w:t xml:space="preserve"> </w:t>
      </w:r>
      <w:r>
        <w:rPr>
          <w:i/>
        </w:rPr>
        <w:t xml:space="preserve">Annual Review of Immunology</w:t>
      </w:r>
      <w:r>
        <w:t xml:space="preserve"> </w:t>
      </w:r>
      <w:r>
        <w:rPr>
          <w:b/>
        </w:rPr>
        <w:t xml:space="preserve">37</w:t>
      </w:r>
      <w:r>
        <w:t xml:space="preserve">, 145–171 (2019).</w:t>
      </w:r>
    </w:p>
    <w:bookmarkEnd w:id="90"/>
    <w:bookmarkStart w:id="91" w:name="ref-Fp4dDXV1"/>
    <w:p>
      <w:pPr>
        <w:pStyle w:val="Bibliography"/>
      </w:pPr>
      <w:r>
        <w:t xml:space="preserve">31. Rezvani, K., Rouce, R., Liu, E. &amp; Shpall, E. Engineering Natural Killer Cells for Cancer Immunotherapy.</w:t>
      </w:r>
      <w:r>
        <w:t xml:space="preserve"> </w:t>
      </w:r>
      <w:r>
        <w:rPr>
          <w:i/>
        </w:rPr>
        <w:t xml:space="preserve">Molecular Therapy</w:t>
      </w:r>
      <w:r>
        <w:t xml:space="preserve"> </w:t>
      </w:r>
      <w:r>
        <w:rPr>
          <w:b/>
        </w:rPr>
        <w:t xml:space="preserve">25</w:t>
      </w:r>
      <w:r>
        <w:t xml:space="preserve">, 1769–1781 (2017).</w:t>
      </w:r>
    </w:p>
    <w:bookmarkEnd w:id="91"/>
    <w:bookmarkStart w:id="93" w:name="ref-8Miti2Gz"/>
    <w:p>
      <w:pPr>
        <w:pStyle w:val="Bibliography"/>
      </w:pPr>
      <w:r>
        <w:t xml:space="preserve">32. Virtanen, P.</w:t>
      </w:r>
      <w:r>
        <w:t xml:space="preserve"> </w:t>
      </w:r>
      <w:r>
        <w:rPr>
          <w:i/>
        </w:rPr>
        <w:t xml:space="preserve">et al.</w:t>
      </w:r>
      <w:r>
        <w:t xml:space="preserve"> </w:t>
      </w:r>
      <w:r>
        <w:t xml:space="preserve">SciPy 1.0: fundamental algorithms for scientific computing in Python.</w:t>
      </w:r>
      <w:r>
        <w:t xml:space="preserve"> </w:t>
      </w:r>
      <w:r>
        <w:rPr>
          <w:i/>
        </w:rPr>
        <w:t xml:space="preserve">Nature Methods</w:t>
      </w:r>
      <w:r>
        <w:t xml:space="preserve"> </w:t>
      </w:r>
      <w:r>
        <w:t xml:space="preserve">(2020). doi:</w:t>
      </w:r>
      <w:hyperlink r:id="rId92">
        <w:r>
          <w:rPr>
            <w:rStyle w:val="Hyperlink"/>
          </w:rPr>
          <w:t xml:space="preserve">10.1038/s41592-019-0686-2</w:t>
        </w:r>
      </w:hyperlink>
    </w:p>
    <w:bookmarkEnd w:id="93"/>
    <w:bookmarkStart w:id="94" w:name="ref-VKATSjfe"/>
    <w:p>
      <w:pPr>
        <w:pStyle w:val="Bibliography"/>
      </w:pPr>
      <w:r>
        <w:t xml:space="preserve">33. Merwe, R. van der. Sigma-Point Kalman Filters for Probabilistic Inference in Dynamic State-Space Models. (2004).</w:t>
      </w:r>
    </w:p>
    <w:bookmarkEnd w:id="94"/>
    <w:bookmarkEnd w:id="95"/>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92" Target="https://doi.org/10.1038/s41592-019-0686-2" TargetMode="External" /><Relationship Type="http://schemas.openxmlformats.org/officeDocument/2006/relationships/hyperlink" Id="rId70" Target="https://doi.org/10.1101/812131" TargetMode="External" /><Relationship Type="http://schemas.openxmlformats.org/officeDocument/2006/relationships/hyperlink" Id="rId26" Target="https://github.com/aarmey" TargetMode="External" /><Relationship Type="http://schemas.openxmlformats.org/officeDocument/2006/relationships/hyperlink" Id="rId22" Target="https://github.com/borcuttjahns" TargetMode="External" /><Relationship Type="http://schemas.openxmlformats.org/officeDocument/2006/relationships/hyperlink" Id="rId24" Target="https://github.com/cyrillustan" TargetMode="External" /><Relationship Type="http://schemas.openxmlformats.org/officeDocument/2006/relationships/hyperlink" Id="rId49" Target="https://github.com/meyer-lab/cell-selective-ligands" TargetMode="External" /><Relationship Type="http://schemas.openxmlformats.org/officeDocument/2006/relationships/hyperlink" Id="rId21" Target="https://orcid.org/0000-0002-1436-1224" TargetMode="External" /><Relationship Type="http://schemas.openxmlformats.org/officeDocument/2006/relationships/hyperlink" Id="rId23" Target="https://orcid.org/0000-0002-5498-5509" TargetMode="External" /><Relationship Type="http://schemas.openxmlformats.org/officeDocument/2006/relationships/hyperlink" Id="rId25" Target="https://orcid.org/0000-0003-4513-1840" TargetMode="External" /><Relationship Type="http://schemas.openxmlformats.org/officeDocument/2006/relationships/hyperlink" Id="rId27"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2020-10-20T18:17:01Z</dcterms:created>
  <dcterms:modified xsi:type="dcterms:W3CDTF">2020-10-20T18:17:01Z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2020-10-20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