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Exploiting</w:t>
      </w:r>
      <w:r>
        <w:t xml:space="preserve"> </w:t>
      </w:r>
      <w:r>
        <w:t xml:space="preserve">multivalency</w:t>
      </w:r>
      <w:r>
        <w:t xml:space="preserve"> </w:t>
      </w:r>
      <w:r>
        <w:t xml:space="preserve">and</w:t>
      </w:r>
      <w:r>
        <w:t xml:space="preserve"> </w:t>
      </w:r>
      <w:r>
        <w:t xml:space="preserve">other</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therapies</w:t>
      </w:r>
    </w:p>
    <w:p>
      <w:pPr>
        <w:pStyle w:val="FirstParagraph"/>
      </w:pPr>
      <w:r>
        <w:t xml:space="preserve"> </w:t>
      </w:r>
      <w:r>
        <w:t xml:space="preserve">This manuscript</w:t>
      </w:r>
      <w:r>
        <w:t xml:space="preserve"> </w:t>
      </w:r>
      <w:r>
        <w:t xml:space="preserve">was automatically generated on September 27, 2020.</w:t>
      </w:r>
      <w:r>
        <w:t xml:space="preserve"> </w:t>
      </w:r>
    </w:p>
    <w:p>
      <w:pPr>
        <w:pStyle w:val="Heading2"/>
      </w:pPr>
      <w:bookmarkStart w:id="20" w:name="authors"/>
      <w:r>
        <w:t xml:space="preserve">Authors</w:t>
      </w:r>
      <w:bookmarkEnd w:id="20"/>
    </w:p>
    <w:p>
      <w:pPr>
        <w:numPr>
          <w:ilvl w:val="0"/>
          <w:numId w:val="1001"/>
        </w:numPr>
      </w:pPr>
      <w:r>
        <w:rPr>
          <w:b/>
        </w:rPr>
        <w:t xml:space="preserve">Brian Orcutt-Jahns</w:t>
      </w:r>
      <w:r>
        <w:t xml:space="preserve"> </w:t>
      </w:r>
      <w:r>
        <w:t xml:space="preserve">ORCID</w:t>
      </w:r>
      <w:r>
        <w:t xml:space="preserve"> </w:t>
      </w:r>
      <w:hyperlink r:id="rId21">
        <w:r>
          <w:rPr>
            <w:rStyle w:val="Hyperlink"/>
          </w:rPr>
          <w:t xml:space="preserve">0000-0002-1436-1224</w:t>
        </w:r>
      </w:hyperlink>
      <w:r>
        <w:t xml:space="preserve"> </w:t>
      </w:r>
      <w:r>
        <w:t xml:space="preserve">· Github</w:t>
      </w:r>
      <w:r>
        <w:t xml:space="preserve"> </w:t>
      </w:r>
      <w:hyperlink r:id="rId22">
        <w:r>
          <w:rPr>
            <w:rStyle w:val="Hyperlink"/>
          </w:rPr>
          <w:t xml:space="preserve">borcuttjahns</w:t>
        </w:r>
      </w:hyperlink>
      <w:r>
        <w:t xml:space="preserve"> </w:t>
      </w:r>
      <w:r>
        <w:t xml:space="preserve"> </w:t>
      </w:r>
      <w:r>
        <w:t xml:space="preserve">Department of Bioengineering, University of California, Los Angeles</w:t>
      </w:r>
      <w:r>
        <w:t xml:space="preserve"> </w:t>
      </w:r>
    </w:p>
    <w:p>
      <w:pPr>
        <w:numPr>
          <w:ilvl w:val="0"/>
          <w:numId w:val="1001"/>
        </w:numPr>
      </w:pPr>
      <w:r>
        <w:rPr>
          <w:b/>
        </w:rPr>
        <w:t xml:space="preserve">Zhixin Cyrillus Tan</w:t>
      </w:r>
      <w:r>
        <w:t xml:space="preserve"> </w:t>
      </w:r>
      <w:r>
        <w:t xml:space="preserve">ORCID</w:t>
      </w:r>
      <w:r>
        <w:t xml:space="preserve"> </w:t>
      </w:r>
      <w:hyperlink r:id="rId23">
        <w:r>
          <w:rPr>
            <w:rStyle w:val="Hyperlink"/>
          </w:rPr>
          <w:t xml:space="preserve">0000-0002-5498-5509</w:t>
        </w:r>
      </w:hyperlink>
      <w:r>
        <w:t xml:space="preserve"> </w:t>
      </w:r>
      <w:r>
        <w:t xml:space="preserve">· Github</w:t>
      </w:r>
      <w:r>
        <w:t xml:space="preserve"> </w:t>
      </w:r>
      <w:hyperlink r:id="rId24">
        <w:r>
          <w:rPr>
            <w:rStyle w:val="Hyperlink"/>
          </w:rPr>
          <w:t xml:space="preserve">cyrillustan</w:t>
        </w:r>
      </w:hyperlink>
      <w:r>
        <w:t xml:space="preserve"> </w:t>
      </w:r>
      <w:r>
        <w:t xml:space="preserve"> </w:t>
      </w:r>
      <w:r>
        <w:t xml:space="preserve">Bioinformatics Interdepartmental Program, University of California, Los Angeles</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quantitatively different levels relative to off-target cells. More complex binding strategies have been designed to overcome this limitation, including multi-specific and multi-valent molecules, creating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ummary-points"/>
      <w:r>
        <w:t xml:space="preserve">Summary points</w:t>
      </w:r>
      <w:bookmarkEnd w:id="29"/>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p>
      <w:pPr>
        <w:pStyle w:val="Heading2"/>
      </w:pPr>
      <w:bookmarkStart w:id="30" w:name="introduction"/>
      <w:r>
        <w:t xml:space="preserve">Introduction</w:t>
      </w:r>
      <w:bookmarkEnd w:id="30"/>
    </w:p>
    <w:p>
      <w:pPr>
        <w:pStyle w:val="FirstParagraph"/>
      </w:pPr>
      <w:r>
        <w:t xml:space="preserve">Many drugs derive their therapeutic benefit, and avoid toxicity, through selective binding to specific cells within the body. However, even with a drug of very specific molecular binding, genetic and non-genetic heterogeneity can create a wide distribution of cell responses. This results in reduced effectiveness and toxicity.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of cells within a heterogeneous population. Indeed,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Even in the absence of heterogeneity, target cells can differ from off-target populations only by subtle changes in surface receptor expression. These challenges limit the selectivity of therapies within the body.</w:t>
      </w:r>
    </w:p>
    <w:p>
      <w:pPr>
        <w:pStyle w:val="BodyText"/>
      </w:pPr>
      <w:r>
        <w:t xml:space="preserve">Further improving cell-specific targeting will require new strategies of engineering specificity.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engineer logic and more complex programs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protein and other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strategies for engineering cell-specific binding using a multi-valent, multi-receptor, multi-ligand model. We show that strategies including affinity, valency, binding competition, ligand mixtures, and hetero-valent complexes provide distinct and non-overlapping improvements in cell-specific targeting. With each strategy, we highlight evidence of its effect in existing therapeutic agents. Finally, we combine these strategies to target cells through combinatorial strategies. In total, our results demonstrate that binding programs can offer combinatorial targeting strategies with similar effectiveness as complex engineered cellular therapies and can be engineered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p>
    <w:bookmarkEnd w:id="0"/>
    <w:p>
      <w:pPr>
        <w:pStyle w:val="BodyText"/>
      </w:pPr>
      <w:r>
        <w:t xml:space="preserve">Here we investigate cell-specific targeting quantitatively by extending an equilibrium, multi-valent, multi-ligand binding model. Virtually any therapy, including monoclonal antibodies, small-molecule inhibitors, and cytokines, can be thought of as ligands for respective receptors expressed on target cells. Ligand binding to target cells is the first step and essential for a drug’s intended action; in contrast, binding to off-target cells can result in unintended effects or toxicity. Some cell populations can be distinguished by unique receptor expression, but more commonly target and off-target cells express the same collection of receptors and differ only in their amounts. In such situations, engineering drugs optimized to achieve more ligand bound to the target cells, while minimizing the binding to off-target cells, is an area of ongoing research and has inspired myriad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We will use a quantitative binding estimation for these two cell populations to examine these strategies.</w:t>
      </w:r>
    </w:p>
    <w:p>
      <w:pPr>
        <w:pStyle w:val="BodyText"/>
      </w:pPr>
      <w:r>
        <w:t xml:space="preserve">While ligand-receptor binding events in biology are diverse, they are governed by their thermodynamic properties and the law of mass action. When a reaction reaches its equilibrium state, the ratio of the concentration of monomeric ligand-receptor complex,</w:t>
      </w:r>
      <w:r>
        <w:t xml:space="preserve"> </w:t>
      </w:r>
      <m:oMath>
        <m:r>
          <m:t>[</m:t>
        </m:r>
        <m:r>
          <m:t>L</m:t>
        </m:r>
        <m:r>
          <m:t>R</m:t>
        </m:r>
        <m:r>
          <m:t>]</m:t>
        </m:r>
      </m:oMath>
      <w:r>
        <w:t xml:space="preserve">, to the product of the concentrations of each,</w:t>
      </w:r>
      <w:r>
        <w:t xml:space="preserve"> </w:t>
      </w:r>
      <m:oMath>
        <m:r>
          <m:t>[</m:t>
        </m:r>
        <m:r>
          <m:t>L</m:t>
        </m:r>
        <m:r>
          <m:t>]</m:t>
        </m:r>
        <m:r>
          <m:t>[</m:t>
        </m:r>
        <m:r>
          <m:t>R</m:t>
        </m:r>
        <m:r>
          <m:t>]</m:t>
        </m:r>
      </m:oMath>
      <w:r>
        <w:t xml:space="preserve">, can be defined as an association constant</w:t>
      </w:r>
      <w:r>
        <w:t xml:space="preserve"> </w:t>
      </w:r>
      <m:oMath>
        <m:sSub>
          <m:e>
            <m:r>
              <m:t>K</m:t>
            </m:r>
          </m:e>
          <m:sub>
            <m:r>
              <m:t>a</m:t>
            </m:r>
          </m:sub>
        </m:sSub>
      </m:oMath>
      <w:r>
        <w:t xml:space="preserve">. The number of ligands in the solution is often much greater than that of the receptors so that binding does not deplete the ligand concentration. Binding behavior is more complex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will assume that the first subunit on a ligand complex binds according to the same dynamics that govern monovalent binding. Subsequent binding events exhibit different behavior, however, due to the increased local concentration of the complex. Here, we assume that the effective association constant for the subsequent bindings is proportional to that of the free binding, but scaled by a constant,</w:t>
      </w:r>
      <w:r>
        <w:t xml:space="preserve"> </w:t>
      </w:r>
      <m:oMath>
        <m:sSubSup>
          <m:e>
            <m:r>
              <m:t>K</m:t>
            </m:r>
          </m:e>
          <m:sub>
            <m:r>
              <m:t>x</m:t>
            </m:r>
          </m:sub>
          <m:sup>
            <m:r>
              <m:t>*</m:t>
            </m:r>
          </m:sup>
        </m:sSubSup>
      </m:oMath>
      <w:r>
        <w:t xml:space="preserve">, due to its different local concentration and steric effects. Another consideration that must be made when modeling multivalent binding processes is whether a ligand complex is formed by a random assortment of monomer units or by engineering to produce complexes of defined uniform composition.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have multiple contour lines between and so point 3 has more ligand binding.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w:t>
      </w:r>
    </w:p>
    <w:p>
      <w:pPr>
        <w:pStyle w:val="BodyText"/>
      </w:pPr>
      <w:r>
        <w:t xml:space="preserve">As an example, we chose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the association constants to the two receptors to be</w:t>
      </w:r>
      <w:r>
        <w:t xml:space="preserve"> </w:t>
      </w:r>
      <m:oMath>
        <m:sSup>
          <m:e>
            <m:r>
              <m:t>10</m:t>
            </m:r>
          </m:e>
          <m:sup>
            <m:r>
              <m:t>5</m:t>
            </m:r>
          </m:sup>
        </m:sSup>
        <m:sSup>
          <m:e>
            <m:r>
              <m:rPr>
                <m:sty m:val="p"/>
              </m:rPr>
              <m:t>M</m:t>
            </m:r>
          </m:e>
          <m:sup>
            <m:r>
              <m:rPr>
                <m:sty m:val="p"/>
              </m:rPr>
              <m:t>−</m:t>
            </m:r>
            <m:r>
              <m:rPr>
                <m:sty m:val="p"/>
              </m:rPr>
              <m:t>1</m:t>
            </m:r>
          </m:sup>
        </m:sSup>
      </m:oMath>
      <w:r>
        <w:t xml:space="preserve"> </w:t>
      </w:r>
      <w:r>
        <w:t xml:space="preserve">and</w:t>
      </w:r>
      <w:r>
        <w:t xml:space="preserve"> </w:t>
      </w:r>
      <m:oMath>
        <m:sSup>
          <m:e>
            <m:r>
              <m:t>10</m:t>
            </m:r>
          </m:e>
          <m:sup>
            <m:r>
              <m:t>7</m:t>
            </m:r>
          </m:sup>
        </m:sSup>
        <m:sSup>
          <m:e>
            <m:r>
              <m:rPr>
                <m:sty m:val="p"/>
              </m:rPr>
              <m:t>M</m:t>
            </m:r>
          </m:e>
          <m:sup>
            <m:r>
              <m:rPr>
                <m:sty m:val="p"/>
              </m:rPr>
              <m:t>−</m:t>
            </m:r>
            <m:r>
              <m:rPr>
                <m:sty m:val="p"/>
              </m:rPr>
              <m:t>1</m:t>
            </m:r>
          </m:sup>
        </m:sSup>
      </m:oMath>
      <w:r>
        <w:t xml:space="preserve">, respectively. Figure</w:t>
      </w:r>
      <w:r>
        <w:t xml:space="preserve"> </w:t>
      </w:r>
      <w:hyperlink w:anchor="fig:model">
        <w:r>
          <w:rPr>
            <w:rStyle w:val="Hyperlink"/>
          </w:rPr>
          <w:t xml:space="preserve">1</w:t>
        </w:r>
      </w:hyperlink>
      <w:r>
        <w:t xml:space="preserve">c shows that when the amount of</w:t>
      </w:r>
      <w:r>
        <w:t xml:space="preserve"> </w:t>
      </w:r>
      <m:oMath>
        <m:sSub>
          <m:e>
            <m:r>
              <m:t>R</m:t>
            </m:r>
          </m:e>
          <m:sub>
            <m:r>
              <m:t>1</m:t>
            </m:r>
          </m:sub>
        </m:sSub>
      </m:oMath>
      <w:r>
        <w:t xml:space="preserve"> </w:t>
      </w:r>
      <w:r>
        <w:t xml:space="preserve">increases on a cell (a point moves rightward, e.g. from 1 to 2), the amount of binding doesn’t increase significantly. On the contrary, adding more</w:t>
      </w:r>
      <w:r>
        <w:t xml:space="preserve"> </w:t>
      </w:r>
      <m:oMath>
        <m:sSub>
          <m:e>
            <m:r>
              <m:t>R</m:t>
            </m:r>
          </m:e>
          <m:sub>
            <m:r>
              <m:t>2</m:t>
            </m:r>
          </m:sub>
        </m:sSub>
      </m:oMath>
      <w:r>
        <w:t xml:space="preserve"> </w:t>
      </w:r>
      <w:r>
        <w:t xml:space="preserve">(moving upward, e.g. from 1 to 3) will lead to a great boost on ligand bound. The high affinity of</w:t>
      </w:r>
      <w:r>
        <w:t xml:space="preserve"> </w:t>
      </w:r>
      <m:oMath>
        <m:sSub>
          <m:e>
            <m:r>
              <m:t>R</m:t>
            </m:r>
          </m:e>
          <m:sub>
            <m:r>
              <m:t>2</m:t>
            </m:r>
          </m:sub>
        </m:sSub>
      </m:oMath>
      <w:r>
        <w:t xml:space="preserve"> </w:t>
      </w:r>
      <w:r>
        <w:t xml:space="preserve">leads to a greater binding dependence on the expression of</w:t>
      </w:r>
      <w:r>
        <w:t xml:space="preserve"> </w:t>
      </w:r>
      <m:oMath>
        <m:sSub>
          <m:e>
            <m:r>
              <m:t>R</m:t>
            </m:r>
          </m:e>
          <m:sub>
            <m:r>
              <m:t>2</m:t>
            </m:r>
          </m:sub>
        </m:sSub>
      </m:oMath>
      <w:r>
        <w:t xml:space="preserve"> </w:t>
      </w:r>
      <w:r>
        <w:t xml:space="preserve">than</w:t>
      </w:r>
      <w:r>
        <w:t xml:space="preserve"> </w:t>
      </w:r>
      <m:oMath>
        <m:sSub>
          <m:e>
            <m:r>
              <m:t>R</m:t>
            </m:r>
          </m:e>
          <m:sub>
            <m:r>
              <m:t>1</m:t>
            </m:r>
          </m:sub>
        </m:sSub>
      </m:oMath>
      <w:r>
        <w:t xml:space="preserve">. This situation corresponds to some cue inducing expression of a receptor (e.g. interferon-induced upregulation of MHC, or regulatory T cell upregulation of IL-2R⍺</w:t>
      </w:r>
      <w:hyperlink w:anchor="ref-11Hb1fNV6">
        <w:r>
          <w:rPr>
            <w:rStyle w:val="Hyperlink"/>
            <w:vertAlign w:val="superscript"/>
          </w:rPr>
          <w:t xml:space="preserve">15</w:t>
        </w:r>
      </w:hyperlink>
      <w:r>
        <w:t xml:space="preserve">).</w:t>
      </w:r>
    </w:p>
    <w:p>
      <w:pPr>
        <w:pStyle w:val="BodyText"/>
      </w:pPr>
      <w:r>
        <w:t xml:space="preserve">To analyze more general cases, we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To account for cell-to-cell heterogeneity, we also defined intrapopulation variability.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We will use this binding model to examine how engineering on affinity, valency, and hetero-valent complexes improve cell-specific targeting. Although we will only consider two receptor and ligand subunit types, respectively, the principles we present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association constants to these receptors range from</w:t>
      </w:r>
      <w:r>
        <w:t xml:space="preserve"> </w:t>
      </w:r>
      <m:oMath>
        <m:sSup>
          <m:e>
            <m:r>
              <m:t>10</m:t>
            </m:r>
          </m:e>
          <m:sup>
            <m:r>
              <m:t>5</m:t>
            </m:r>
          </m:sup>
        </m:sSup>
        <m:r>
          <m:t>∼</m:t>
        </m:r>
        <m:sSup>
          <m:e>
            <m:r>
              <m:t>10</m:t>
            </m:r>
          </m:e>
          <m:sup>
            <m:r>
              <m:t>7</m:t>
            </m:r>
          </m:sup>
        </m:sSup>
        <m:sSup>
          <m:e>
            <m:r>
              <m:rPr>
                <m:sty m:val="p"/>
              </m:rPr>
              <m:t>M</m:t>
            </m:r>
          </m:e>
          <m:sup>
            <m:r>
              <m:rPr>
                <m:sty m:val="p"/>
              </m:rPr>
              <m:t>−</m:t>
            </m:r>
            <m:r>
              <m:rPr>
                <m:sty m:val="p"/>
              </m:rPr>
              <m:t>1</m:t>
            </m:r>
          </m:sup>
        </m:sSup>
      </m:oMath>
      <w:r>
        <w:t xml:space="preserve">.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Heatmap of binding ratio of cell populations exposed to a monovalent ligand with association constants to receptor 1 and 2 ranging from</w:t>
      </w:r>
      <w:r>
        <w:t xml:space="preserve"> </w:t>
      </w:r>
      <m:oMath>
        <m:sSup>
          <m:e>
            <m:r>
              <m:t>10</m:t>
            </m:r>
          </m:e>
          <m:sup>
            <m:r>
              <m:t>5</m:t>
            </m:r>
          </m:sup>
        </m:sSup>
        <m:r>
          <m:t>∼</m:t>
        </m:r>
        <m:sSup>
          <m:e>
            <m:r>
              <m:t>10</m:t>
            </m:r>
          </m:e>
          <m:sup>
            <m:r>
              <m:t>7</m:t>
            </m:r>
          </m:sup>
        </m:sSup>
        <m:sSup>
          <m:e>
            <m:r>
              <m:rPr>
                <m:sty m:val="p"/>
              </m:rPr>
              <m:t>M</m:t>
            </m:r>
          </m:e>
          <m:sup>
            <m:r>
              <m:rPr>
                <m:sty m:val="p"/>
              </m:rPr>
              <m:t>−</m:t>
            </m:r>
            <m:r>
              <m:rPr>
                <m:sty m:val="p"/>
              </m:rPr>
              <m:t>1</m:t>
            </m:r>
          </m:sup>
        </m:sSup>
      </m:oMath>
      <w:r>
        <w:t xml:space="preserve">, at a concentration of</w:t>
      </w:r>
      <w:r>
        <w:t xml:space="preserve"> </w:t>
      </w:r>
      <m:oMath>
        <m:r>
          <m:t>10</m:t>
        </m:r>
        <m:r>
          <m:rPr>
            <m:sty m:val="p"/>
          </m:rPr>
          <m:t>n</m:t>
        </m:r>
        <m:r>
          <m:rPr>
            <m:sty m:val="p"/>
          </m:rPr>
          <m:t>M</m:t>
        </m:r>
      </m:oMath>
      <w:r>
        <w:t xml:space="preserve">. b–e)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association constants to these receptors range from</w:t>
      </w:r>
      <w:r>
        <w:t xml:space="preserve"> </w:t>
      </w:r>
      <m:oMath>
        <m:sSup>
          <m:e>
            <m:r>
              <m:t>10</m:t>
            </m:r>
          </m:e>
          <m:sup>
            <m:r>
              <m:t>5</m:t>
            </m:r>
          </m:sup>
        </m:sSup>
        <m:r>
          <m:t>∼</m:t>
        </m:r>
        <m:sSup>
          <m:e>
            <m:r>
              <m:t>10</m:t>
            </m:r>
          </m:e>
          <m:sup>
            <m:r>
              <m:t>7</m:t>
            </m:r>
          </m:sup>
        </m:sSup>
        <m:sSup>
          <m:e>
            <m:r>
              <m:rPr>
                <m:sty m:val="p"/>
              </m:rPr>
              <m:t>M</m:t>
            </m:r>
          </m:e>
          <m:sup>
            <m:r>
              <m:rPr>
                <m:sty m:val="p"/>
              </m:rPr>
              <m:t>−</m:t>
            </m:r>
            <m:r>
              <m:rPr>
                <m:sty m:val="p"/>
              </m:rPr>
              <m:t>1</m:t>
            </m:r>
          </m:sup>
        </m:sSup>
      </m:oMath>
      <w:r>
        <w:t xml:space="preserve">.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Heatmap of binding ratio of cell populations exposed to a monovalent ligand with association constants to receptor 1 and 2 ranging from</w:t>
      </w:r>
      <w:r>
        <w:t xml:space="preserve"> </w:t>
      </w:r>
      <m:oMath>
        <m:sSup>
          <m:e>
            <m:r>
              <m:t>10</m:t>
            </m:r>
          </m:e>
          <m:sup>
            <m:r>
              <m:t>5</m:t>
            </m:r>
          </m:sup>
        </m:sSup>
        <m:r>
          <m:t>∼</m:t>
        </m:r>
        <m:sSup>
          <m:e>
            <m:r>
              <m:t>10</m:t>
            </m:r>
          </m:e>
          <m:sup>
            <m:r>
              <m:t>7</m:t>
            </m:r>
          </m:sup>
        </m:sSup>
        <m:sSup>
          <m:e>
            <m:r>
              <m:rPr>
                <m:sty m:val="p"/>
              </m:rPr>
              <m:t>M</m:t>
            </m:r>
          </m:e>
          <m:sup>
            <m:r>
              <m:rPr>
                <m:sty m:val="p"/>
              </m:rPr>
              <m:t>−</m:t>
            </m:r>
            <m:r>
              <m:rPr>
                <m:sty m:val="p"/>
              </m:rPr>
              <m:t>1</m:t>
            </m:r>
          </m:sup>
        </m:sSup>
      </m:oMath>
      <w:r>
        <w:t xml:space="preserve">, at a concentration of</w:t>
      </w:r>
      <w:r>
        <w:t xml:space="preserve"> </w:t>
      </w:r>
      <m:oMath>
        <m:r>
          <m:t>10</m:t>
        </m:r>
        <m:r>
          <m:rPr>
            <m:sty m:val="p"/>
          </m:rPr>
          <m:t>n</m:t>
        </m:r>
        <m:r>
          <m:rPr>
            <m:sty m:val="p"/>
          </m:rPr>
          <m:t>M</m:t>
        </m:r>
      </m:oMath>
      <w:r>
        <w:t xml:space="preserve">. b–e)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w:t>
      </w:r>
    </w:p>
    <w:bookmarkEnd w:id="0"/>
    <w:p>
      <w:pPr>
        <w:pStyle w:val="BodyText"/>
      </w:pPr>
      <w:r>
        <w:t xml:space="preserve">When a target cell population expresses a unique receptor or pattern of receptors, enhancing the affinity to this receptor or reducing the affinity to other receptors are clear strategies to increase selective binding (Fig.</w:t>
      </w:r>
      <w:r>
        <w:t xml:space="preserve"> </w:t>
      </w:r>
      <w:hyperlink w:anchor="fig:affinity">
        <w:r>
          <w:rPr>
            <w:rStyle w:val="Hyperlink"/>
          </w:rPr>
          <w:t xml:space="preserve">2</w:t>
        </w:r>
      </w:hyperlink>
      <w:r>
        <w:t xml:space="preserve">a). As an example, cell type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expresses a high amount of receptor 1, while type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expresses receptor 2 at a higher abundance (Fig.</w:t>
      </w:r>
      <w:r>
        <w:t xml:space="preserve"> </w:t>
      </w:r>
      <w:hyperlink w:anchor="fig:affinity">
        <w:r>
          <w:rPr>
            <w:rStyle w:val="Hyperlink"/>
          </w:rPr>
          <w:t xml:space="preserve">2</w:t>
        </w:r>
      </w:hyperlink>
      <w:r>
        <w:t xml:space="preserve">a). Enhancing ligand affinity for receptor 1 and weakening its interaction with receptor 2 results in improved binding selectivity toward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(Fig.</w:t>
      </w:r>
      <w:r>
        <w:t xml:space="preserve"> </w:t>
      </w:r>
      <w:hyperlink w:anchor="fig:affinity">
        <w:r>
          <w:rPr>
            <w:rStyle w:val="Hyperlink"/>
          </w:rPr>
          <w:t xml:space="preserve">2</w:t>
        </w:r>
      </w:hyperlink>
      <w:r>
        <w:t xml:space="preserve">e). Unsurprisingly, all cell populations with abundant receptor 1 bind greater amounts of ligand in this case. The contour plot on the background shows this trend more intuitively: when the affinity of receptor 1 increases (from the subplots on the left to those on the right), the contour lines shift inward and cluster more densely, indicating an enhanced sensitivity of binding to expression of receptor 1.</w:t>
      </w:r>
    </w:p>
    <w:p>
      <w:pPr>
        <w:pStyle w:val="BodyText"/>
      </w:pPr>
      <w:r>
        <w:t xml:space="preserve">However, just as often, both on- and off-target cell populations express the same set of receptors and only differ in their magnitude of expression. An example of this pattern is</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affinity">
        <w:r>
          <w:rPr>
            <w:rStyle w:val="Hyperlink"/>
          </w:rPr>
          <w:t xml:space="preserve">2</w:t>
        </w:r>
      </w:hyperlink>
      <w:r>
        <w:t xml:space="preserve">a). In this case, the benefit of affinity changes is limited to the relative difference in receptor amounts (Fig.</w:t>
      </w:r>
      <w:r>
        <w:t xml:space="preserve"> </w:t>
      </w:r>
      <w:hyperlink w:anchor="fig:affinity">
        <w:r>
          <w:rPr>
            <w:rStyle w:val="Hyperlink"/>
          </w:rPr>
          <w:t xml:space="preserve">2</w:t>
        </w:r>
      </w:hyperlink>
      <w:r>
        <w:t xml:space="preserve">c). Thus, to use affinity changes for selectivity enhancement it is critical to identify which receptors a cell population of interest expresses most uniquely.</w:t>
      </w:r>
    </w:p>
    <w:p>
      <w:pPr>
        <w:pStyle w:val="BodyText"/>
      </w:pPr>
      <w:r>
        <w:t xml:space="preserve">Cell populations are made up of individual cells with heterogeneous amounts of receptor.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(Fig.</w:t>
      </w:r>
      <w:r>
        <w:t xml:space="preserve"> </w:t>
      </w:r>
      <w:hyperlink w:anchor="fig:affinity">
        <w:r>
          <w:rPr>
            <w:rStyle w:val="Hyperlink"/>
          </w:rPr>
          <w:t xml:space="preserve">2</w:t>
        </w:r>
      </w:hyperlink>
      <w:r>
        <w:t xml:space="preserve">). The ellipse representing its range of receptor abundances rides through multiple contour lines, indicating wide variation in the quantity of bound ligand. Thus, if we choose to maneuver the affinity of receptor 1 to attain more selective binding 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we can expect greater intra-population variation in binding to the latter (Fig.</w:t>
      </w:r>
      <w:r>
        <w:t xml:space="preserve"> </w:t>
      </w:r>
      <w:hyperlink w:anchor="fig:affinity">
        <w:r>
          <w:rPr>
            <w:rStyle w:val="Hyperlink"/>
          </w:rPr>
          <w:t xml:space="preserve">2</w:t>
        </w:r>
      </w:hyperlink>
      <w:r>
        <w:t xml:space="preserve">).</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d). Multivalent ligand binding differs from monovalent binding in its non-linear relationship with cellular receptor density, allowing multivalent ligands to potentially selectively target cells based on receptor abundance.</w:t>
      </w:r>
      <w:hyperlink w:anchor="ref-IanZRiFA">
        <w:r>
          <w:rPr>
            <w:rStyle w:val="Hyperlink"/>
            <w:vertAlign w:val="superscript"/>
          </w:rPr>
          <w:t xml:space="preserve">16</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a-c. Here, the amount of ligand bound by cells expressing different abundances of receptor 1 and 2 is quantified. Ligand binds both receptors with equal affinity and the valency of the ligand is varied across subplots. The most notable effect of changing valency is observed as variable density of binding isoclines in the contour plot. For example, in the monovalent case, the relative levels of binding of</w:t>
      </w:r>
      <w:r>
        <w:t xml:space="preserve"> </w:t>
      </w:r>
      <m:oMath>
        <m:sSubSup>
          <m:e>
            <m:r>
              <m:t>R</m:t>
            </m:r>
          </m:e>
          <m:sub>
            <m:r>
              <m:t>1</m:t>
            </m:r>
          </m:sub>
          <m:sup>
            <m:r>
              <m:t>l</m:t>
            </m:r>
            <m:r>
              <m:t>o</m:t>
            </m:r>
          </m:sup>
        </m:sSubSup>
        <m:sSubSup>
          <m:e>
            <m:r>
              <m:t>R</m:t>
            </m:r>
          </m:e>
          <m:sub>
            <m:r>
              <m:t>2</m:t>
            </m:r>
          </m:sub>
          <m:sup>
            <m:r>
              <m:t>l</m:t>
            </m:r>
            <m:r>
              <m:t>o</m:t>
            </m:r>
          </m:sup>
        </m:sSubSup>
      </m:oMath>
      <w:r>
        <w:t xml:space="preserv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h</m:t>
            </m:r>
            <m:r>
              <m:t>i</m:t>
            </m:r>
          </m:sup>
        </m:sSubSup>
      </m:oMath>
      <w:r>
        <w:t xml:space="preserve">, all of which have identical relative abundance of receptors 1 and 2, is exactly proportional to their receptor abundance. However, in the multivalent case, the density of contour isoclines varies as a function of receptor expression, causing the ligand binding difference between these populations to vary.</w:t>
      </w:r>
    </w:p>
    <w:p>
      <w:pPr>
        <w:pStyle w:val="BodyText"/>
      </w:pPr>
      <w:r>
        <w:t xml:space="preserve">In order to further validate our model’s capacity to predict multivalent binding activity, we fit it to data gathered by Csizmar et al., where the amount of multivalent, fluorescently labeled nanorings bound to populations expressing large amounts of fibronectin was measured.</w:t>
      </w:r>
      <w:hyperlink w:anchor="ref-u2Cb0DBq">
        <w:r>
          <w:rPr>
            <w:rStyle w:val="Hyperlink"/>
            <w:vertAlign w:val="superscript"/>
          </w:rPr>
          <w:t xml:space="preserve">17</w:t>
        </w:r>
      </w:hyperlink>
      <w:r>
        <w:t xml:space="preserve"> </w:t>
      </w:r>
      <w:r>
        <w:t xml:space="preserve">By using a least squares fitting to determine crosslinking coefficients, and receptor affinity values, our model was able to accurately predict the amount of nanorings with four or eight fibronectin binding domains bound to MCF-7 cells expressing a known abundance of fibronectin domains (Fig.</w:t>
      </w:r>
      <w:r>
        <w:t xml:space="preserve"> </w:t>
      </w:r>
      <w:hyperlink w:anchor="fig:Csizmar">
        <w:r>
          <w:rPr>
            <w:rStyle w:val="Hyperlink"/>
          </w:rPr>
          <w:t xml:space="preserve">8</w:t>
        </w:r>
      </w:hyperlink>
      <w:r>
        <w:t xml:space="preserve">a).</w:t>
      </w:r>
    </w:p>
    <w:p>
      <w:pPr>
        <w:pStyle w:val="BodyText"/>
      </w:pPr>
      <w:r>
        <w:t xml:space="preserve">Selectivity derived from valency engineering requires coordinate changes in affinity. Like we predict, lower affinity, multi-valent interactions have been shown to exhibit abundance selectivity for target cells.</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17</w:t>
        </w:r>
      </w:hyperlink>
      <w:r>
        <w:t xml:space="preserve"> </w:t>
      </w:r>
      <w:r>
        <w:t xml:space="preserve">Comparing binding between cell populations exposed to ligands of variable affinities over a range of ligand valency demonstrates this interplay (Fig.</w:t>
      </w:r>
      <w:r>
        <w:t xml:space="preserve"> </w:t>
      </w:r>
      <w:hyperlink w:anchor="fig:valency">
        <w:r>
          <w:rPr>
            <w:rStyle w:val="Hyperlink"/>
          </w:rPr>
          <w:t xml:space="preserve">3</w:t>
        </w:r>
      </w:hyperlink>
      <w:r>
        <w:t xml:space="preserve">b-d). Here, the ligand binding ratios between cell populations are shown for ligands of high, medium, and low affinities (</w:t>
      </w:r>
      <m:oMath>
        <m:sSub>
          <m:e>
            <m:r>
              <m:t>K</m:t>
            </m:r>
          </m:e>
          <m:sub>
            <m:r>
              <m:t>a</m:t>
            </m:r>
          </m:sub>
        </m:sSub>
      </m:oMath>
      <w:r>
        <w:t xml:space="preserve"> </w:t>
      </w:r>
      <w:r>
        <w:t xml:space="preserve">of</w:t>
      </w:r>
      <w:r>
        <w:t xml:space="preserve"> </w:t>
      </w:r>
      <m:oMath>
        <m:sSup>
          <m:e>
            <m:r>
              <m:t>10</m:t>
            </m:r>
          </m:e>
          <m:sup>
            <m:r>
              <m:t>6</m:t>
            </m:r>
          </m:sup>
        </m:sSup>
      </m:oMath>
      <w:r>
        <w:t xml:space="preserve">,</w:t>
      </w:r>
      <w:r>
        <w:t xml:space="preserve"> </w:t>
      </w:r>
      <m:oMath>
        <m:sSup>
          <m:e>
            <m:r>
              <m:t>10</m:t>
            </m:r>
          </m:e>
          <m:sup>
            <m:r>
              <m:t>7</m:t>
            </m:r>
          </m:sup>
        </m:sSup>
      </m:oMath>
      <w:r>
        <w:t xml:space="preserve">,</w:t>
      </w:r>
      <w:r>
        <w:t xml:space="preserve"> </w:t>
      </w:r>
      <m:oMath>
        <m:sSup>
          <m:e>
            <m:r>
              <m:t>10</m:t>
            </m:r>
          </m:e>
          <m:sup>
            <m:r>
              <m:t>8</m:t>
            </m:r>
          </m:sup>
        </m:sSup>
      </m:oMath>
      <w:r>
        <w:t xml:space="preserve"> </w:t>
      </w:r>
      <m:oMath>
        <m:sSup>
          <m:e>
            <m:r>
              <m:rPr>
                <m:sty m:val="p"/>
              </m:rPr>
              <m:t>M</m:t>
            </m:r>
          </m:e>
          <m:sup>
            <m:r>
              <m:rPr>
                <m:sty m:val="p"/>
              </m:rPr>
              <m:t>−</m:t>
            </m:r>
            <m:r>
              <m:rPr>
                <m:sty m:val="p"/>
              </m:rPr>
              <m:t>1</m:t>
            </m:r>
          </m:sup>
        </m:sSup>
      </m:oMath>
      <w:r>
        <w:t xml:space="preserve">). For example,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than the high affinity ligands.</w:t>
      </w:r>
    </w:p>
    <w:p>
      <w:pPr>
        <w:pStyle w:val="BodyText"/>
      </w:pPr>
      <w:r>
        <w:t xml:space="preserve">Our model allows us to identify the mechanism of valency-mediated receptor abundance selectivity by looking at the average number of receptors bound by each ligand complex. A cell expressing</w:t>
      </w:r>
      <w:r>
        <w:t xml:space="preserve"> </w:t>
      </w:r>
      <m:oMath>
        <m:sSup>
          <m:e>
            <m:r>
              <m:t>10</m:t>
            </m:r>
          </m:e>
          <m:sup>
            <m:r>
              <m:t>4</m:t>
            </m:r>
          </m:sup>
        </m:sSup>
      </m:oMath>
      <w:r>
        <w:t xml:space="preserve"> </w:t>
      </w:r>
      <w:r>
        <w:t xml:space="preserve">receptors displays similar amounts of binding at each valency for ligands with association constants of</w:t>
      </w:r>
      <w:r>
        <w:t xml:space="preserve"> </w:t>
      </w:r>
      <m:oMath>
        <m:sSup>
          <m:e>
            <m:r>
              <m:t>10</m:t>
            </m:r>
          </m:e>
          <m:sup>
            <m:r>
              <m:t>6</m:t>
            </m:r>
          </m:sup>
        </m:sSup>
      </m:oMath>
      <w:r>
        <w:t xml:space="preserve">,</w:t>
      </w:r>
      <w:r>
        <w:t xml:space="preserve"> </w:t>
      </w:r>
      <m:oMath>
        <m:sSup>
          <m:e>
            <m:r>
              <m:t>10</m:t>
            </m:r>
          </m:e>
          <m:sup>
            <m:r>
              <m:t>7</m:t>
            </m:r>
          </m:sup>
        </m:sSup>
      </m:oMath>
      <w:r>
        <w:t xml:space="preserve">, and</w:t>
      </w:r>
      <w:r>
        <w:t xml:space="preserve"> </w:t>
      </w:r>
      <m:oMath>
        <m:sSup>
          <m:e>
            <m:r>
              <m:t>10</m:t>
            </m:r>
          </m:e>
          <m:sup>
            <m:r>
              <m:t>8</m:t>
            </m:r>
          </m:sup>
        </m:sSup>
      </m:oMath>
      <w:r>
        <w:t xml:space="preserve"> </w:t>
      </w:r>
      <w:r>
        <w:t xml:space="preserve">(Fig.</w:t>
      </w:r>
      <w:r>
        <w:t xml:space="preserve"> </w:t>
      </w:r>
      <w:hyperlink w:anchor="fig:valency">
        <w:r>
          <w:rPr>
            <w:rStyle w:val="Hyperlink"/>
          </w:rPr>
          <w:t xml:space="preserve">3</w:t>
        </w:r>
      </w:hyperlink>
      <w:r>
        <w:t xml:space="preserve">e). However, a cell expressing a degree of magnitude fewer receptors exhibits extremely low amounts of multivalent binding for ligand complexes of low binding affinity (Fig.</w:t>
      </w:r>
      <w:r>
        <w:t xml:space="preserve"> </w:t>
      </w:r>
      <w:hyperlink w:anchor="fig:valency">
        <w:r>
          <w:rPr>
            <w:rStyle w:val="Hyperlink"/>
          </w:rPr>
          <w:t xml:space="preserve">3</w:t>
        </w:r>
      </w:hyperlink>
      <w:r>
        <w:t xml:space="preserve">f). This effect arises due to a higher dissociation rate than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receptor abundance, but low affinity and receptor density severely limit the possibility of secondary binding events. In contrast, cells with higher receptor abundance accumulate ligand binding by binding ligand at high valency, as the rate of multi-valent binding is greater than that of disassociation (Fig.</w:t>
      </w:r>
      <w:r>
        <w:t xml:space="preserve"> </w:t>
      </w:r>
      <w:hyperlink w:anchor="fig:valency">
        <w:r>
          <w:rPr>
            <w:rStyle w:val="Hyperlink"/>
          </w:rPr>
          <w:t xml:space="preserve">3</w:t>
        </w:r>
      </w:hyperlink>
      <w:r>
        <w:t xml:space="preserve">f). This effect allows for valency to provide selectivity between cells having differences in receptor expression density, where affinity alone may fail.</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both receptor 1 and 2 with an association constant of</w:t>
      </w:r>
      <w:r>
        <w:t xml:space="preserve"> </w:t>
      </w:r>
      <m:oMath>
        <m:r>
          <m:t>3</m:t>
        </m:r>
        <m:r>
          <m:t>×</m:t>
        </m:r>
        <m:sSup>
          <m:e>
            <m:r>
              <m:t>10</m:t>
            </m:r>
          </m:e>
          <m:sup>
            <m:r>
              <m:t>6</m:t>
            </m:r>
          </m:sup>
        </m:sSup>
        <m:sSup>
          <m:e>
            <m:r>
              <m:rPr>
                <m:sty m:val="p"/>
              </m:rPr>
              <m:t>M</m:t>
            </m:r>
          </m:e>
          <m:sup>
            <m:r>
              <m:rPr>
                <m:sty m:val="p"/>
              </m:rPr>
              <m:t>−</m:t>
            </m:r>
            <m:r>
              <m:rPr>
                <m:sty m:val="p"/>
              </m:rPr>
              <m:t>1</m:t>
            </m:r>
          </m:sup>
        </m:sSup>
      </m:oMath>
      <w:r>
        <w:t xml:space="preserve">, and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ligands bound at each degree of binding for cells exposed to octavalent ligand complexes composed of subunits with a association constants of</w:t>
      </w:r>
      <w:r>
        <w:t xml:space="preserve"> </w:t>
      </w:r>
      <m:oMath>
        <m:r>
          <m:t>1</m:t>
        </m:r>
        <m:r>
          <m:t>×</m:t>
        </m:r>
        <m:sSup>
          <m:e>
            <m:r>
              <m:t>10</m:t>
            </m:r>
          </m:e>
          <m:sup>
            <m:r>
              <m:t>6</m:t>
            </m:r>
          </m:sup>
        </m:sSup>
        <m:sSup>
          <m:e>
            <m:r>
              <m:rPr>
                <m:sty m:val="p"/>
              </m:rPr>
              <m:t>M</m:t>
            </m:r>
          </m:e>
          <m:sup>
            <m:r>
              <m:rPr>
                <m:sty m:val="p"/>
              </m:rPr>
              <m:t>−</m:t>
            </m:r>
            <m:r>
              <m:rPr>
                <m:sty m:val="p"/>
              </m:rPr>
              <m:t>1</m:t>
            </m:r>
          </m:sup>
        </m:sSup>
      </m:oMath>
      <w:r>
        <w:t xml:space="preserve">,</w:t>
      </w:r>
      <w:r>
        <w:t xml:space="preserve"> </w:t>
      </w:r>
      <m:oMath>
        <m:r>
          <m:t>1</m:t>
        </m:r>
        <m:r>
          <m:t>×</m:t>
        </m:r>
        <m:sSup>
          <m:e>
            <m:r>
              <m:t>10</m:t>
            </m:r>
          </m:e>
          <m:sup>
            <m:r>
              <m:t>7</m:t>
            </m:r>
          </m:sup>
        </m:sSup>
        <m:sSup>
          <m:e>
            <m:r>
              <m:rPr>
                <m:sty m:val="p"/>
              </m:rPr>
              <m:t>M</m:t>
            </m:r>
          </m:e>
          <m:sup>
            <m:r>
              <m:rPr>
                <m:sty m:val="p"/>
              </m:rPr>
              <m:t>−</m:t>
            </m:r>
            <m:r>
              <m:rPr>
                <m:sty m:val="p"/>
              </m:rPr>
              <m:t>1</m:t>
            </m:r>
          </m:sup>
        </m:sSup>
      </m:oMath>
      <w:r>
        <w:t xml:space="preserve">, or</w:t>
      </w:r>
      <w:r>
        <w:t xml:space="preserve"> </w:t>
      </w:r>
      <m:oMath>
        <m:r>
          <m:t>1</m:t>
        </m:r>
        <m:r>
          <m:t>×</m:t>
        </m:r>
        <m:sSup>
          <m:e>
            <m:r>
              <m:t>10</m:t>
            </m:r>
          </m:e>
          <m:sup>
            <m:r>
              <m:t>8</m:t>
            </m:r>
          </m:sup>
        </m:sSup>
        <m:sSup>
          <m:e>
            <m:r>
              <m:rPr>
                <m:sty m:val="p"/>
              </m:rPr>
              <m:t>M</m:t>
            </m:r>
          </m:e>
          <m:sup>
            <m:r>
              <m:rPr>
                <m:sty m:val="p"/>
              </m:rPr>
              <m:t>−</m:t>
            </m:r>
            <m:r>
              <m:rPr>
                <m:sty m:val="p"/>
              </m:rPr>
              <m:t>1</m:t>
            </m:r>
          </m:sup>
        </m:sSup>
      </m:oMath>
      <w:r>
        <w:t xml:space="preserve">. d) Number of octavalent complex bound at each degree for a cell with</w:t>
      </w:r>
      <w:r>
        <w:t xml:space="preserve"> </w:t>
      </w:r>
      <m:oMath>
        <m:r>
          <m:t>1</m:t>
        </m:r>
        <m:r>
          <m:t>×</m:t>
        </m:r>
        <m:sSup>
          <m:e>
            <m:r>
              <m:t>10</m:t>
            </m:r>
          </m:e>
          <m:sup>
            <m:r>
              <m:t>4</m:t>
            </m:r>
          </m:sup>
        </m:sSup>
      </m:oMath>
      <w:r>
        <w:t xml:space="preserve"> </w:t>
      </w:r>
      <w:r>
        <w:t xml:space="preserve">receptors. e) Number of octavalent complex bound at each degree for a cell with</w:t>
      </w:r>
      <w:r>
        <w:t xml:space="preserve"> </w:t>
      </w:r>
      <m:oMath>
        <m:r>
          <m:t>1</m:t>
        </m:r>
        <m:r>
          <m:t>×</m:t>
        </m:r>
        <m:sSup>
          <m:e>
            <m:r>
              <m:t>10</m:t>
            </m:r>
          </m:e>
          <m:sup>
            <m:r>
              <m:t>3</m:t>
            </m:r>
          </m:sup>
        </m:sSup>
      </m:oMath>
      <w:r>
        <w:t xml:space="preserve"> </w:t>
      </w:r>
      <w:r>
        <w:t xml:space="preserve">receptors. f) Fraction of forward to reverse binding rates for a multivalent ligand binding to a cell with varying amounts of receptor expression, following an initial binding event.</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both receptor 1 and 2 with an association constant of</w:t>
      </w:r>
      <w:r>
        <w:t xml:space="preserve"> </w:t>
      </w:r>
      <m:oMath>
        <m:r>
          <m:t>3</m:t>
        </m:r>
        <m:r>
          <m:t>×</m:t>
        </m:r>
        <m:sSup>
          <m:e>
            <m:r>
              <m:t>10</m:t>
            </m:r>
          </m:e>
          <m:sup>
            <m:r>
              <m:t>6</m:t>
            </m:r>
          </m:sup>
        </m:sSup>
        <m:sSup>
          <m:e>
            <m:r>
              <m:rPr>
                <m:sty m:val="p"/>
              </m:rPr>
              <m:t>M</m:t>
            </m:r>
          </m:e>
          <m:sup>
            <m:r>
              <m:rPr>
                <m:sty m:val="p"/>
              </m:rPr>
              <m:t>−</m:t>
            </m:r>
            <m:r>
              <m:rPr>
                <m:sty m:val="p"/>
              </m:rPr>
              <m:t>1</m:t>
            </m:r>
          </m:sup>
        </m:sSup>
      </m:oMath>
      <w:r>
        <w:t xml:space="preserve">, and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ligands bound at each degree of binding for cells exposed to octavalent ligand complexes composed of subunits with a association constants of</w:t>
      </w:r>
      <w:r>
        <w:t xml:space="preserve"> </w:t>
      </w:r>
      <m:oMath>
        <m:r>
          <m:t>1</m:t>
        </m:r>
        <m:r>
          <m:t>×</m:t>
        </m:r>
        <m:sSup>
          <m:e>
            <m:r>
              <m:t>10</m:t>
            </m:r>
          </m:e>
          <m:sup>
            <m:r>
              <m:t>6</m:t>
            </m:r>
          </m:sup>
        </m:sSup>
        <m:sSup>
          <m:e>
            <m:r>
              <m:rPr>
                <m:sty m:val="p"/>
              </m:rPr>
              <m:t>M</m:t>
            </m:r>
          </m:e>
          <m:sup>
            <m:r>
              <m:rPr>
                <m:sty m:val="p"/>
              </m:rPr>
              <m:t>−</m:t>
            </m:r>
            <m:r>
              <m:rPr>
                <m:sty m:val="p"/>
              </m:rPr>
              <m:t>1</m:t>
            </m:r>
          </m:sup>
        </m:sSup>
      </m:oMath>
      <w:r>
        <w:t xml:space="preserve">,</w:t>
      </w:r>
      <w:r>
        <w:t xml:space="preserve"> </w:t>
      </w:r>
      <m:oMath>
        <m:r>
          <m:t>1</m:t>
        </m:r>
        <m:r>
          <m:t>×</m:t>
        </m:r>
        <m:sSup>
          <m:e>
            <m:r>
              <m:t>10</m:t>
            </m:r>
          </m:e>
          <m:sup>
            <m:r>
              <m:t>7</m:t>
            </m:r>
          </m:sup>
        </m:sSup>
        <m:sSup>
          <m:e>
            <m:r>
              <m:rPr>
                <m:sty m:val="p"/>
              </m:rPr>
              <m:t>M</m:t>
            </m:r>
          </m:e>
          <m:sup>
            <m:r>
              <m:rPr>
                <m:sty m:val="p"/>
              </m:rPr>
              <m:t>−</m:t>
            </m:r>
            <m:r>
              <m:rPr>
                <m:sty m:val="p"/>
              </m:rPr>
              <m:t>1</m:t>
            </m:r>
          </m:sup>
        </m:sSup>
      </m:oMath>
      <w:r>
        <w:t xml:space="preserve">, or</w:t>
      </w:r>
      <w:r>
        <w:t xml:space="preserve"> </w:t>
      </w:r>
      <m:oMath>
        <m:r>
          <m:t>1</m:t>
        </m:r>
        <m:r>
          <m:t>×</m:t>
        </m:r>
        <m:sSup>
          <m:e>
            <m:r>
              <m:t>10</m:t>
            </m:r>
          </m:e>
          <m:sup>
            <m:r>
              <m:t>8</m:t>
            </m:r>
          </m:sup>
        </m:sSup>
        <m:sSup>
          <m:e>
            <m:r>
              <m:rPr>
                <m:sty m:val="p"/>
              </m:rPr>
              <m:t>M</m:t>
            </m:r>
          </m:e>
          <m:sup>
            <m:r>
              <m:rPr>
                <m:sty m:val="p"/>
              </m:rPr>
              <m:t>−</m:t>
            </m:r>
            <m:r>
              <m:rPr>
                <m:sty m:val="p"/>
              </m:rPr>
              <m:t>1</m:t>
            </m:r>
          </m:sup>
        </m:sSup>
      </m:oMath>
      <w:r>
        <w:t xml:space="preserve">. d) Number of octavalent complex bound at each degree for a cell with</w:t>
      </w:r>
      <w:r>
        <w:t xml:space="preserve"> </w:t>
      </w:r>
      <m:oMath>
        <m:r>
          <m:t>1</m:t>
        </m:r>
        <m:r>
          <m:t>×</m:t>
        </m:r>
        <m:sSup>
          <m:e>
            <m:r>
              <m:t>10</m:t>
            </m:r>
          </m:e>
          <m:sup>
            <m:r>
              <m:t>4</m:t>
            </m:r>
          </m:sup>
        </m:sSup>
      </m:oMath>
      <w:r>
        <w:t xml:space="preserve"> </w:t>
      </w:r>
      <w:r>
        <w:t xml:space="preserve">receptors. e) Number of octavalent complex bound at each degree for a cell with</w:t>
      </w:r>
      <w:r>
        <w:t xml:space="preserve"> </w:t>
      </w:r>
      <m:oMath>
        <m:r>
          <m:t>1</m:t>
        </m:r>
        <m:r>
          <m:t>×</m:t>
        </m:r>
        <m:sSup>
          <m:e>
            <m:r>
              <m:t>10</m:t>
            </m:r>
          </m:e>
          <m:sup>
            <m:r>
              <m:t>3</m:t>
            </m:r>
          </m:sup>
        </m:sSup>
      </m:oMath>
      <w:r>
        <w:t xml:space="preserve"> </w:t>
      </w:r>
      <w:r>
        <w:t xml:space="preserve">receptors. f) Fraction of forward to reverse binding rates for a multivalent ligand binding to a cell with varying amounts of receptor expression, following an initial binding event.</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18</w:t>
        </w:r>
      </w:hyperlink>
      <w:r>
        <w:t xml:space="preserve"> </w:t>
      </w:r>
      <w:r>
        <w:t xml:space="preserve">Furthermore, some biologics inevitably end up as mixtures of species through heterogeneity in glycosylation.</w:t>
      </w:r>
      <w:hyperlink w:anchor="ref-eR2h4yr3">
        <w:r>
          <w:rPr>
            <w:rStyle w:val="Hyperlink"/>
            <w:vertAlign w:val="superscript"/>
          </w:rPr>
          <w:t xml:space="preserve">19</w:t>
        </w:r>
      </w:hyperlink>
      <w:r>
        <w:t xml:space="preserve"> </w:t>
      </w:r>
      <w:r>
        <w:t xml:space="preserve">In these cases, it is important to understand how these species influence the overall response.</w:t>
      </w:r>
    </w:p>
    <w:p>
      <w:pPr>
        <w:pStyle w:val="BodyText"/>
      </w:pPr>
      <w:r>
        <w:t xml:space="preserve">To evaluate the contribution of mixtures, we evaluated model-predicted binding while varying the composition between ligands with either receptor 1- or 2-preferred binding, respectively (Fig.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is always maximized by using 100% of the more specific ligand, at least when defining selectivity between two populations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effective when considering three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We also demonstrate the utility of mixture engineering in two other target/off-target cell population combinations where multiple off-target populations are considered (Fig.</w:t>
      </w:r>
      <w:r>
        <w:t xml:space="preserve"> </w:t>
      </w:r>
      <w:hyperlink w:anchor="fig:mixture">
        <w:r>
          <w:rPr>
            <w:rStyle w:val="Hyperlink"/>
          </w:rPr>
          <w:t xml:space="preserve">4</w:t>
        </w:r>
      </w:hyperlink>
      <w:r>
        <w:t xml:space="preserve">d/e).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8lU1hNlA">
        <w:r>
          <w:rPr>
            <w:rStyle w:val="Hyperlink"/>
            <w:vertAlign w:val="superscript"/>
          </w:rPr>
          <w:t xml:space="preserve">20</w:t>
        </w:r>
      </w:hyperlink>
      <w:r>
        <w:rPr>
          <w:vertAlign w:val="superscript"/>
        </w:rPr>
        <w:t xml:space="preserve">,</w:t>
      </w:r>
      <w:hyperlink w:anchor="ref-11gk5tUo7">
        <w:r>
          <w:rPr>
            <w:rStyle w:val="Hyperlink"/>
            <w:vertAlign w:val="superscript"/>
          </w:rPr>
          <w:t xml:space="preserve">21</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association constants of</w:t>
      </w:r>
      <w:r>
        <w:t xml:space="preserve"> </w:t>
      </w:r>
      <m:oMath>
        <m:sSup>
          <m:e>
            <m:r>
              <m:t>10</m:t>
            </m:r>
          </m:e>
          <m:sup>
            <m:r>
              <m:t>6</m:t>
            </m:r>
          </m:sup>
        </m:sSup>
        <m:sSup>
          <m:e>
            <m:r>
              <m:rPr>
                <m:sty m:val="p"/>
              </m:rPr>
              <m:t>M</m:t>
            </m:r>
          </m:e>
          <m:sup>
            <m:r>
              <m:rPr>
                <m:sty m:val="p"/>
              </m:rPr>
              <m:t>−</m:t>
            </m:r>
            <m:r>
              <m:rPr>
                <m:sty m:val="p"/>
              </m:rPr>
              <m:t>1</m:t>
            </m:r>
          </m:sup>
        </m:sSup>
      </m:oMath>
      <w:r>
        <w:t xml:space="preserve"> </w:t>
      </w:r>
      <w:r>
        <w:t xml:space="preserve">and</w:t>
      </w:r>
      <w:r>
        <w:t xml:space="preserve"> </w:t>
      </w:r>
      <m:oMath>
        <m:sSup>
          <m:e>
            <m:r>
              <m:t>10</m:t>
            </m:r>
          </m:e>
          <m:sup>
            <m:r>
              <m:t>5</m:t>
            </m:r>
          </m:sup>
        </m:sSup>
        <m:sSup>
          <m:e>
            <m:r>
              <m:rPr>
                <m:sty m:val="p"/>
              </m:rPr>
              <m:t>M</m:t>
            </m:r>
          </m:e>
          <m:sup>
            <m:r>
              <m:rPr>
                <m:sty m:val="p"/>
              </m:rPr>
              <m:t>−</m:t>
            </m:r>
            <m:r>
              <m:rPr>
                <m:sty m:val="p"/>
              </m:rPr>
              <m:t>1</m:t>
            </m:r>
          </m:sup>
        </m:sSup>
      </m:oMath>
      <w:r>
        <w:t xml:space="preserve"> </w:t>
      </w:r>
      <w:r>
        <w:t xml:space="preserve">respectively, and ligand 2 binding to receptors 1 and 2 with association constants of</w:t>
      </w:r>
      <w:r>
        <w:t xml:space="preserve"> </w:t>
      </w:r>
      <m:oMath>
        <m:sSup>
          <m:e>
            <m:r>
              <m:t>10</m:t>
            </m:r>
          </m:e>
          <m:sup>
            <m:r>
              <m:t>5</m:t>
            </m:r>
          </m:sup>
        </m:sSup>
        <m:sSup>
          <m:e>
            <m:r>
              <m:rPr>
                <m:sty m:val="p"/>
              </m:rPr>
              <m:t>M</m:t>
            </m:r>
          </m:e>
          <m:sup>
            <m:r>
              <m:rPr>
                <m:sty m:val="p"/>
              </m:rPr>
              <m:t>−</m:t>
            </m:r>
            <m:r>
              <m:rPr>
                <m:sty m:val="p"/>
              </m:rPr>
              <m:t>1</m:t>
            </m:r>
          </m:sup>
        </m:sSup>
      </m:oMath>
      <w:r>
        <w:t xml:space="preserve"> </w:t>
      </w:r>
      <w:r>
        <w:t xml:space="preserve">and</w:t>
      </w:r>
      <w:r>
        <w:t xml:space="preserve"> </w:t>
      </w:r>
      <m:oMath>
        <m:sSup>
          <m:e>
            <m:r>
              <m:t>10</m:t>
            </m:r>
          </m:e>
          <m:sup>
            <m:r>
              <m:t>6</m:t>
            </m:r>
          </m:sup>
        </m:sSup>
        <m:sSup>
          <m:e>
            <m:r>
              <m:rPr>
                <m:sty m:val="p"/>
              </m:rPr>
              <m:t>M</m:t>
            </m:r>
          </m:e>
          <m:sup>
            <m:r>
              <m:rPr>
                <m:sty m:val="p"/>
              </m:rPr>
              <m:t>−</m:t>
            </m:r>
            <m:r>
              <m:rPr>
                <m:sty m:val="p"/>
              </m:rPr>
              <m:t>1</m:t>
            </m:r>
          </m:sup>
        </m:sSup>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c-e,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e)</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association constants of</w:t>
      </w:r>
      <w:r>
        <w:t xml:space="preserve"> </w:t>
      </w:r>
      <m:oMath>
        <m:sSup>
          <m:e>
            <m:r>
              <m:t>10</m:t>
            </m:r>
          </m:e>
          <m:sup>
            <m:r>
              <m:t>6</m:t>
            </m:r>
          </m:sup>
        </m:sSup>
        <m:sSup>
          <m:e>
            <m:r>
              <m:rPr>
                <m:sty m:val="p"/>
              </m:rPr>
              <m:t>M</m:t>
            </m:r>
          </m:e>
          <m:sup>
            <m:r>
              <m:rPr>
                <m:sty m:val="p"/>
              </m:rPr>
              <m:t>−</m:t>
            </m:r>
            <m:r>
              <m:rPr>
                <m:sty m:val="p"/>
              </m:rPr>
              <m:t>1</m:t>
            </m:r>
          </m:sup>
        </m:sSup>
      </m:oMath>
      <w:r>
        <w:t xml:space="preserve"> </w:t>
      </w:r>
      <w:r>
        <w:t xml:space="preserve">and</w:t>
      </w:r>
      <w:r>
        <w:t xml:space="preserve"> </w:t>
      </w:r>
      <m:oMath>
        <m:sSup>
          <m:e>
            <m:r>
              <m:t>10</m:t>
            </m:r>
          </m:e>
          <m:sup>
            <m:r>
              <m:t>5</m:t>
            </m:r>
          </m:sup>
        </m:sSup>
        <m:sSup>
          <m:e>
            <m:r>
              <m:rPr>
                <m:sty m:val="p"/>
              </m:rPr>
              <m:t>M</m:t>
            </m:r>
          </m:e>
          <m:sup>
            <m:r>
              <m:rPr>
                <m:sty m:val="p"/>
              </m:rPr>
              <m:t>−</m:t>
            </m:r>
            <m:r>
              <m:rPr>
                <m:sty m:val="p"/>
              </m:rPr>
              <m:t>1</m:t>
            </m:r>
          </m:sup>
        </m:sSup>
      </m:oMath>
      <w:r>
        <w:t xml:space="preserve"> </w:t>
      </w:r>
      <w:r>
        <w:t xml:space="preserve">respectively, and ligand 2 binding to receptors 1 and 2 with association constants of</w:t>
      </w:r>
      <w:r>
        <w:t xml:space="preserve"> </w:t>
      </w:r>
      <m:oMath>
        <m:sSup>
          <m:e>
            <m:r>
              <m:t>10</m:t>
            </m:r>
          </m:e>
          <m:sup>
            <m:r>
              <m:t>5</m:t>
            </m:r>
          </m:sup>
        </m:sSup>
        <m:sSup>
          <m:e>
            <m:r>
              <m:rPr>
                <m:sty m:val="p"/>
              </m:rPr>
              <m:t>M</m:t>
            </m:r>
          </m:e>
          <m:sup>
            <m:r>
              <m:rPr>
                <m:sty m:val="p"/>
              </m:rPr>
              <m:t>−</m:t>
            </m:r>
            <m:r>
              <m:rPr>
                <m:sty m:val="p"/>
              </m:rPr>
              <m:t>1</m:t>
            </m:r>
          </m:sup>
        </m:sSup>
      </m:oMath>
      <w:r>
        <w:t xml:space="preserve"> </w:t>
      </w:r>
      <w:r>
        <w:t xml:space="preserve">and</w:t>
      </w:r>
      <w:r>
        <w:t xml:space="preserve"> </w:t>
      </w:r>
      <m:oMath>
        <m:sSup>
          <m:e>
            <m:r>
              <m:t>10</m:t>
            </m:r>
          </m:e>
          <m:sup>
            <m:r>
              <m:t>6</m:t>
            </m:r>
          </m:sup>
        </m:sSup>
        <m:sSup>
          <m:e>
            <m:r>
              <m:rPr>
                <m:sty m:val="p"/>
              </m:rPr>
              <m:t>M</m:t>
            </m:r>
          </m:e>
          <m:sup>
            <m:r>
              <m:rPr>
                <m:sty m:val="p"/>
              </m:rPr>
              <m:t>−</m:t>
            </m:r>
            <m:r>
              <m:rPr>
                <m:sty m:val="p"/>
              </m:rPr>
              <m:t>1</m:t>
            </m:r>
          </m:sup>
        </m:sSup>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c-e,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e)</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 has become a promising new strategy for finer target cell specificity with the advancement of engineering techniques.</w:t>
      </w:r>
      <w:hyperlink w:anchor="ref-iG3t9Py2">
        <w:r>
          <w:rPr>
            <w:rStyle w:val="Hyperlink"/>
            <w:vertAlign w:val="superscript"/>
          </w:rPr>
          <w:t xml:space="preserve">22</w:t>
        </w:r>
      </w:hyperlink>
      <w:r>
        <w:t xml:space="preserve"> </w:t>
      </w:r>
      <w:r>
        <w:t xml:space="preserve">Here, we use the bispecific ligand as an exemplar to dissect its advantages. Heterovalency is comparable to the two aforementioned strategies: it includes two distinct ligand monomers, similar to a 50%-50% mixture strategy, but these two subunits are tethered together; alternatively, it is also analogous to having a mixture of bivalent ligands. We applied the binding model to these cases with the same set of parameters and compared them in line to identify the unique advantage of heterovalency. These two monomers must have different binding profiles, otherwise it will be identical to the homogeneous bivalent case.</w:t>
      </w:r>
    </w:p>
    <w:p>
      <w:pPr>
        <w:pStyle w:val="BodyText"/>
      </w:pPr>
      <w:r>
        <w:t xml:space="preserve">The amount of bispecific ligand bound in general is plotted in Figure</w:t>
      </w:r>
      <w:r>
        <w:t xml:space="preserve"> </w:t>
      </w:r>
      <w:hyperlink w:anchor="fig:bispecific">
        <w:r>
          <w:rPr>
            <w:rStyle w:val="Hyperlink"/>
          </w:rPr>
          <w:t xml:space="preserve">5</w:t>
        </w:r>
      </w:hyperlink>
      <w:r>
        <w:t xml:space="preserve"> </w:t>
      </w:r>
      <w:r>
        <w:t xml:space="preserve">a, while the ligand-bound of a 50%-50% mix of monovalent ligands in Figure</w:t>
      </w:r>
      <w:r>
        <w:t xml:space="preserve"> </w:t>
      </w:r>
      <w:hyperlink w:anchor="fig:bispecific">
        <w:r>
          <w:rPr>
            <w:rStyle w:val="Hyperlink"/>
          </w:rPr>
          <w:t xml:space="preserve">5</w:t>
        </w:r>
      </w:hyperlink>
      <w:r>
        <w:t xml:space="preserve"> </w:t>
      </w:r>
      <w:r>
        <w:t xml:space="preserve">b and 50%-50% mix of bivalent ligands in Figure</w:t>
      </w:r>
      <w:r>
        <w:t xml:space="preserve"> </w:t>
      </w:r>
      <w:hyperlink w:anchor="fig:bispecific">
        <w:r>
          <w:rPr>
            <w:rStyle w:val="Hyperlink"/>
          </w:rPr>
          <w:t xml:space="preserve">5</w:t>
        </w:r>
      </w:hyperlink>
      <w:r>
        <w:t xml:space="preserve"> </w:t>
      </w:r>
      <w:r>
        <w:t xml:space="preserve">c. Given the same parameter, the ligand-bounds of these three cases are almost exactly the same, and bispecific doesn’t exhibit any merit. When</w:t>
      </w:r>
      <w:r>
        <w:t xml:space="preserve"> </w:t>
      </w:r>
      <m:oMath>
        <m:sSubSup>
          <m:e>
            <m:r>
              <m:t>K</m:t>
            </m:r>
          </m:e>
          <m:sub>
            <m:r>
              <m:t>x</m:t>
            </m:r>
          </m:sub>
          <m:sup>
            <m:r>
              <m:t>*</m:t>
            </m:r>
          </m:sup>
        </m:sSubSup>
      </m:oMath>
      <w:r>
        <w:t xml:space="preserve"> </w:t>
      </w:r>
      <w:r>
        <w:t xml:space="preserve">is relatively small, it is expected that most bindings are the initial docking of the ligand without subsequent binding. Nonetheless, in many heterovalent cases such as the bispecific antibody,</w:t>
      </w:r>
      <w:hyperlink w:anchor="ref-18yoQOgm4">
        <w:r>
          <w:rPr>
            <w:rStyle w:val="Hyperlink"/>
            <w:vertAlign w:val="superscript"/>
          </w:rPr>
          <w:t xml:space="preserve">23</w:t>
        </w:r>
      </w:hyperlink>
      <w:r>
        <w:rPr>
          <w:vertAlign w:val="superscript"/>
        </w:rPr>
        <w:t xml:space="preserve">,</w:t>
      </w:r>
      <w:hyperlink w:anchor="ref-y7JtEfom">
        <w:r>
          <w:rPr>
            <w:rStyle w:val="Hyperlink"/>
            <w:vertAlign w:val="superscript"/>
          </w:rPr>
          <w:t xml:space="preserve">24</w:t>
        </w:r>
      </w:hyperlink>
      <w:r>
        <w:t xml:space="preserve"> </w:t>
      </w:r>
      <w:r>
        <w:t xml:space="preserve">the drug will not be fully effective unless both subunits bind to targets. To scrutinize this case, we extended our model to calculate the amount of ligand fully bound. The predictions made for bispecific fully bound (with</w:t>
      </w:r>
      <w:r>
        <w:t xml:space="preserve"> </w:t>
      </w:r>
      <m:oMath>
        <m:sSubSup>
          <m:e>
            <m:r>
              <m:t>K</m:t>
            </m:r>
          </m:e>
          <m:sub>
            <m:r>
              <m:t>x</m:t>
            </m:r>
          </m:sub>
          <m:sup>
            <m:r>
              <m:t>*</m:t>
            </m:r>
          </m:sup>
        </m:sSubSup>
        <m:r>
          <m:t>=</m:t>
        </m:r>
        <m:sSup>
          <m:e>
            <m:r>
              <m:t>10</m:t>
            </m:r>
          </m:e>
          <m:sup>
            <m:r>
              <m:t>−</m:t>
            </m:r>
            <m:r>
              <m:t>12</m:t>
            </m:r>
          </m:sup>
        </m:sSup>
      </m:oMath>
      <w:r>
        <w:t xml:space="preserve">) plotted in Figure</w:t>
      </w:r>
      <w:r>
        <w:t xml:space="preserve"> </w:t>
      </w:r>
      <w:hyperlink w:anchor="fig:bispecific">
        <w:r>
          <w:rPr>
            <w:rStyle w:val="Hyperlink"/>
          </w:rPr>
          <w:t xml:space="preserve">5</w:t>
        </w:r>
      </w:hyperlink>
      <w:r>
        <w:t xml:space="preserve"> </w:t>
      </w:r>
      <w:r>
        <w:t xml:space="preserve">e show a different pattern than general ligand bound. Besides having a lower amount, fully bound ligand prefers double-positively expressed cells. This can be observed from the more concaved isoclines in Figure</w:t>
      </w:r>
      <w:r>
        <w:t xml:space="preserve"> </w:t>
      </w:r>
      <w:hyperlink w:anchor="fig:bispecific">
        <w:r>
          <w:rPr>
            <w:rStyle w:val="Hyperlink"/>
          </w:rPr>
          <w:t xml:space="preserve">5</w:t>
        </w:r>
      </w:hyperlink>
      <w:r>
        <w:t xml:space="preserve"> </w:t>
      </w:r>
      <w:r>
        <w:t xml:space="preserve">e compare with Figure</w:t>
      </w:r>
      <w:r>
        <w:t xml:space="preserve"> </w:t>
      </w:r>
      <w:hyperlink w:anchor="fig:bispecific">
        <w:r>
          <w:rPr>
            <w:rStyle w:val="Hyperlink"/>
          </w:rPr>
          <w:t xml:space="preserve">5</w:t>
        </w:r>
      </w:hyperlink>
      <w:r>
        <w:t xml:space="preserve"> </w:t>
      </w:r>
      <w:r>
        <w:t xml:space="preserve">a: in Figure</w:t>
      </w:r>
      <w:r>
        <w:t xml:space="preserve"> </w:t>
      </w:r>
      <w:hyperlink w:anchor="fig:bispecific">
        <w:r>
          <w:rPr>
            <w:rStyle w:val="Hyperlink"/>
          </w:rPr>
          <w:t xml:space="preserve">5</w:t>
        </w:r>
      </w:hyperlink>
      <w:r>
        <w:t xml:space="preserve"> </w:t>
      </w:r>
      <w:r>
        <w:t xml:space="preserve">e,</w:t>
      </w:r>
      <w:r>
        <w:t xml:space="preserve"> </w:t>
      </w:r>
      <m:oMath>
        <m:sSubSup>
          <m:e>
            <m:r>
              <m:t>R</m:t>
            </m:r>
          </m:e>
          <m:sub>
            <m:r>
              <m:t>1</m:t>
            </m:r>
          </m:sub>
          <m:sup>
            <m:r>
              <m:t>l</m:t>
            </m:r>
            <m:r>
              <m:t>o</m:t>
            </m:r>
          </m:sup>
        </m:sSubSup>
        <m:sSubSup>
          <m:e>
            <m:r>
              <m:t>R</m:t>
            </m:r>
          </m:e>
          <m:sub>
            <m:r>
              <m:t>2</m:t>
            </m:r>
          </m:sub>
          <m:sup>
            <m:r>
              <m:t>h</m:t>
            </m:r>
            <m:r>
              <m:t>i</m:t>
            </m:r>
          </m:sup>
        </m:sSubSup>
      </m:oMath>
      <w:r>
        <w:t xml:space="preserv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have about the same level of fully bound ligands. The bispecific also behaves differently from a 50%-50% mixture of homogeneous bivalent ligands when they fully bound, as plotted in Figure</w:t>
      </w:r>
      <w:r>
        <w:t xml:space="preserve"> </w:t>
      </w:r>
      <w:hyperlink w:anchor="fig:bispecific">
        <w:r>
          <w:rPr>
            <w:rStyle w:val="Hyperlink"/>
          </w:rPr>
          <w:t xml:space="preserve">5</w:t>
        </w:r>
      </w:hyperlink>
      <w:r>
        <w:t xml:space="preserve"> </w:t>
      </w:r>
      <w:r>
        <w:t xml:space="preserve">g. This indicates that bispecific ligand will provide unique enhancement only when the binding of both subunits is required.</w:t>
      </w:r>
    </w:p>
    <w:p>
      <w:pPr>
        <w:pStyle w:val="BodyText"/>
      </w:pPr>
      <w:r>
        <w:t xml:space="preserve">The binding characteristics of fully bound bispecific opens up new opportunities for targeting specific cell populations. The specific amount of fully bound ligands depends on the tendency of crosslinking, captured by</w:t>
      </w:r>
      <w:r>
        <w:t xml:space="preserve"> </w:t>
      </w:r>
      <m:oMath>
        <m:sSubSup>
          <m:e>
            <m:r>
              <m:t>K</m:t>
            </m:r>
          </m:e>
          <m:sub>
            <m:r>
              <m:t>x</m:t>
            </m:r>
          </m:sub>
          <m:sup>
            <m:r>
              <m:t>*</m:t>
            </m:r>
          </m:sup>
        </m:sSubSup>
      </m:oMath>
      <w:r>
        <w:t xml:space="preserve">, as shown in Figure</w:t>
      </w:r>
      <w:r>
        <w:t xml:space="preserve"> </w:t>
      </w:r>
      <w:hyperlink w:anchor="fig:bispecific">
        <w:r>
          <w:rPr>
            <w:rStyle w:val="Hyperlink"/>
          </w:rPr>
          <w:t xml:space="preserve">5</w:t>
        </w:r>
      </w:hyperlink>
      <w:r>
        <w:t xml:space="preserve"> </w:t>
      </w:r>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recognize how the amount of fully bound bispecifics varies comparing with its untethered version (monovalent mixture) and the homogeneous bivalent case, we plotted Figure</w:t>
      </w:r>
      <w:r>
        <w:t xml:space="preserve"> </w:t>
      </w:r>
      <w:hyperlink w:anchor="fig:bispecific">
        <w:r>
          <w:rPr>
            <w:rStyle w:val="Hyperlink"/>
          </w:rPr>
          <w:t xml:space="preserve">5</w:t>
        </w:r>
      </w:hyperlink>
      <w:r>
        <w:t xml:space="preserve"> </w:t>
      </w:r>
      <w:r>
        <w:t xml:space="preserve">a normalized by</w:t>
      </w:r>
      <w:r>
        <w:t xml:space="preserve"> </w:t>
      </w:r>
      <w:hyperlink w:anchor="fig:bispecific">
        <w:r>
          <w:rPr>
            <w:rStyle w:val="Hyperlink"/>
          </w:rPr>
          <w:t xml:space="preserve">5</w:t>
        </w:r>
      </w:hyperlink>
      <w:r>
        <w:t xml:space="preserve"> </w:t>
      </w:r>
      <w:r>
        <w:t xml:space="preserve">b in</w:t>
      </w:r>
      <w:r>
        <w:t xml:space="preserve"> </w:t>
      </w:r>
      <w:hyperlink w:anchor="fig:bispecific">
        <w:r>
          <w:rPr>
            <w:rStyle w:val="Hyperlink"/>
          </w:rPr>
          <w:t xml:space="preserve">5</w:t>
        </w:r>
      </w:hyperlink>
      <w:r>
        <w:t xml:space="preserve"> </w:t>
      </w:r>
      <w:r>
        <w:t xml:space="preserve">h and by</w:t>
      </w:r>
      <w:r>
        <w:t xml:space="preserve"> </w:t>
      </w:r>
      <w:hyperlink w:anchor="fig:bispecific">
        <w:r>
          <w:rPr>
            <w:rStyle w:val="Hyperlink"/>
          </w:rPr>
          <w:t xml:space="preserve">5</w:t>
        </w:r>
      </w:hyperlink>
      <w:r>
        <w:t xml:space="preserve"> </w:t>
      </w:r>
      <w:r>
        <w:t xml:space="preserve">c in</w:t>
      </w:r>
      <w:r>
        <w:t xml:space="preserve"> </w:t>
      </w:r>
      <w:hyperlink w:anchor="fig:bispecific">
        <w:r>
          <w:rPr>
            <w:rStyle w:val="Hyperlink"/>
          </w:rPr>
          <w:t xml:space="preserve">5</w:t>
        </w:r>
      </w:hyperlink>
      <w:r>
        <w:t xml:space="preserve"> </w:t>
      </w:r>
      <w:r>
        <w:t xml:space="preserve">i. Compared with the monovalent mixture (Fig.</w:t>
      </w:r>
      <w:r>
        <w:t xml:space="preserve"> </w:t>
      </w:r>
      <w:hyperlink w:anchor="fig:bispecific">
        <w:r>
          <w:rPr>
            <w:rStyle w:val="Hyperlink"/>
          </w:rPr>
          <w:t xml:space="preserve">5</w:t>
        </w:r>
      </w:hyperlink>
      <w:r>
        <w:t xml:space="preserve"> </w:t>
      </w:r>
      <w:r>
        <w:t xml:space="preserve">h), fully bound bispecific clearly prefers doubly-positive cell populations, although in a non-linear fashion. This is verified by plotting the ratios of selectivities of various population pairs under tethered versus untethered condition in Figure</w:t>
      </w:r>
      <w:r>
        <w:t xml:space="preserve"> </w:t>
      </w:r>
      <w:hyperlink w:anchor="fig:bispecific">
        <w:r>
          <w:rPr>
            <w:rStyle w:val="Hyperlink"/>
          </w:rPr>
          <w:t xml:space="preserve">5</w:t>
        </w:r>
      </w:hyperlink>
      <w:r>
        <w:t xml:space="preserve"> </w:t>
      </w:r>
      <w:r>
        <w:t xml:space="preserve">k: when</w:t>
      </w:r>
      <w:r>
        <w:t xml:space="preserve"> </w:t>
      </w:r>
      <m:oMath>
        <m:sSubSup>
          <m:e>
            <m:r>
              <m:t>K</m:t>
            </m:r>
          </m:e>
          <m:sub>
            <m:r>
              <m:t>x</m:t>
            </m:r>
          </m:sub>
          <m:sup>
            <m:r>
              <m:t>*</m:t>
            </m:r>
          </m:sup>
        </m:sSubSup>
      </m:oMath>
      <w:r>
        <w:t xml:space="preserve"> </w:t>
      </w:r>
      <w:r>
        <w:t xml:space="preserve">is small, bispecific fully bound better targets towards</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 but doesn’t help separating</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from</w:t>
      </w:r>
      <w:r>
        <w:t xml:space="preserve"> </w:t>
      </w:r>
      <m:oMath>
        <m:sSubSup>
          <m:e>
            <m:r>
              <m:t>R</m:t>
            </m:r>
          </m:e>
          <m:sub>
            <m:r>
              <m:t>1</m:t>
            </m:r>
          </m:sub>
          <m:sup>
            <m:r>
              <m:t>h</m:t>
            </m:r>
            <m:r>
              <m:t>i</m:t>
            </m:r>
          </m:sup>
        </m:sSubSup>
        <m:sSubSup>
          <m:e>
            <m:r>
              <m:t>R</m:t>
            </m:r>
          </m:e>
          <m:sub>
            <m:r>
              <m:t>2</m:t>
            </m:r>
          </m:sub>
          <m:sup>
            <m:r>
              <m:t>m</m:t>
            </m:r>
            <m:r>
              <m:t>e</m:t>
            </m:r>
            <m:r>
              <m:t>d</m:t>
            </m:r>
          </m:sup>
        </m:sSubSup>
      </m:oMath>
      <w:r>
        <w:t xml:space="preserve">. Compared with the bivalent mixture, bispecific fully bound prefers a narrow range of cell population with a certain receptor expression profile, as shown in Figure</w:t>
      </w:r>
      <w:r>
        <w:t xml:space="preserve"> </w:t>
      </w:r>
      <w:hyperlink w:anchor="fig:bispecific">
        <w:r>
          <w:rPr>
            <w:rStyle w:val="Hyperlink"/>
          </w:rPr>
          <w:t xml:space="preserve">5</w:t>
        </w:r>
      </w:hyperlink>
      <w:r>
        <w:t xml:space="preserve"> </w:t>
      </w:r>
      <w:r>
        <w:t xml:space="preserve">i as the</w:t>
      </w:r>
      <w:r>
        <w:t xml:space="preserve"> </w:t>
      </w:r>
      <w:r>
        <w:t xml:space="preserve">“</w:t>
      </w:r>
      <w:r>
        <w:t xml:space="preserve">dark belt</w:t>
      </w:r>
      <w:r>
        <w:t xml:space="preserve">”</w:t>
      </w:r>
      <w:r>
        <w:t xml:space="preserve">. The position of this dark belt may be dependent on the choices of ligand affinities.</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sits in this</w:t>
      </w:r>
      <w:r>
        <w:t xml:space="preserve"> </w:t>
      </w:r>
      <w:r>
        <w:t xml:space="preserve">“</w:t>
      </w:r>
      <w:r>
        <w:t xml:space="preserve">belt</w:t>
      </w:r>
      <w:r>
        <w:t xml:space="preserve">”</w:t>
      </w:r>
      <w:r>
        <w:t xml:space="preserve">, thus preferred by the bispecifics. This is also corroborated by Figure</w:t>
      </w:r>
      <w:r>
        <w:t xml:space="preserve"> </w:t>
      </w:r>
      <w:hyperlink w:anchor="fig:bispecific">
        <w:r>
          <w:rPr>
            <w:rStyle w:val="Hyperlink"/>
          </w:rPr>
          <w:t xml:space="preserve">5</w:t>
        </w:r>
      </w:hyperlink>
      <w:r>
        <w:t xml:space="preserve"> </w:t>
      </w:r>
      <w:r>
        <w:t xml:space="preserve">l, the ratios of selectivities between bivalent mixture and bispecifics, where the green line illustrating the</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ratio shoots up with decreasing</w:t>
      </w:r>
      <w:r>
        <w:t xml:space="preserve"> </w:t>
      </w:r>
      <m:oMath>
        <m:sSubSup>
          <m:e>
            <m:r>
              <m:t>K</m:t>
            </m:r>
          </m:e>
          <m:sub>
            <m:r>
              <m:t>x</m:t>
            </m:r>
          </m:sub>
          <m:sup>
            <m:r>
              <m:t>*</m:t>
            </m:r>
          </m:sup>
        </m:sSubSup>
      </m:oMath>
      <w:r>
        <w:t xml:space="preserve">.</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11</m:t>
            </m:r>
          </m:sub>
        </m:sSub>
        <m:r>
          <m:t>=</m:t>
        </m:r>
        <m:sSup>
          <m:e>
            <m:r>
              <m:t>10</m:t>
            </m:r>
          </m:e>
          <m:sup>
            <m:r>
              <m:t>7</m:t>
            </m:r>
          </m:sup>
        </m:sSup>
        <m:sSup>
          <m:e>
            <m:r>
              <m:rPr>
                <m:sty m:val="p"/>
              </m:rPr>
              <m:t>M</m:t>
            </m:r>
          </m:e>
          <m:sup>
            <m:r>
              <m:rPr>
                <m:sty m:val="p"/>
              </m:rPr>
              <m:t>−</m:t>
            </m:r>
            <m:r>
              <m:rPr>
                <m:sty m:val="p"/>
              </m:rPr>
              <m:t>1</m:t>
            </m:r>
          </m:sup>
        </m:sSup>
        <m:r>
          <m:t>,</m:t>
        </m:r>
        <m:sSub>
          <m:e>
            <m:r>
              <m:t>K</m:t>
            </m:r>
          </m:e>
          <m:sub>
            <m:r>
              <m:t>22</m:t>
            </m:r>
          </m:sub>
        </m:sSub>
        <m:r>
          <m:t>=</m:t>
        </m:r>
        <m:sSup>
          <m:e>
            <m:r>
              <m:t>10</m:t>
            </m:r>
          </m:e>
          <m:sup>
            <m:r>
              <m:t>6</m:t>
            </m:r>
          </m:sup>
        </m:sSup>
        <m:sSup>
          <m:e>
            <m:r>
              <m:rPr>
                <m:sty m:val="p"/>
              </m:rPr>
              <m:t>M</m:t>
            </m:r>
          </m:e>
          <m:sup>
            <m:r>
              <m:rPr>
                <m:sty m:val="p"/>
              </m:rPr>
              <m:t>−</m:t>
            </m:r>
            <m:r>
              <m:rPr>
                <m:sty m:val="p"/>
              </m:rPr>
              <m:t>1</m:t>
            </m:r>
          </m:sup>
        </m:sSup>
        <m:r>
          <m:t>,</m:t>
        </m:r>
        <m:sSub>
          <m:e>
            <m:r>
              <m:t>K</m:t>
            </m:r>
          </m:e>
          <m:sub>
            <m:r>
              <m:t>12</m:t>
            </m:r>
          </m:sub>
        </m:sSub>
        <m:r>
          <m:t>=</m:t>
        </m:r>
        <m:sSub>
          <m:e>
            <m:r>
              <m:t>K</m:t>
            </m:r>
          </m:e>
          <m:sub>
            <m:r>
              <m:t>21</m:t>
            </m:r>
          </m:sub>
        </m:sSub>
        <m:r>
          <m:t>=</m:t>
        </m:r>
        <m:sSup>
          <m:e>
            <m:r>
              <m:t>10</m:t>
            </m:r>
          </m:e>
          <m:sup>
            <m:r>
              <m:t>5</m:t>
            </m:r>
          </m:sup>
        </m:sSup>
        <m:sSup>
          <m:e>
            <m:r>
              <m:rPr>
                <m:sty m:val="p"/>
              </m:rPr>
              <m:t>M</m:t>
            </m:r>
          </m:e>
          <m:sup>
            <m:r>
              <m:rPr>
                <m:sty m:val="p"/>
              </m:rPr>
              <m:t>−</m:t>
            </m:r>
            <m:r>
              <m:rPr>
                <m:sty m:val="p"/>
              </m:rPr>
              <m:t>1</m:t>
            </m:r>
          </m:sup>
        </m:sSup>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 Predictions of fully bound ligand in a mixture of two homogeneous bivalent drugs, which is different from the bispecific case. h) Bispecific fully bound normalized by its untethered counterpart, mixture of monovalents. Bispecific prefers doubly-positive populations. i) Bispecific fully bound normalized by its equivalent homogeneous bivalent mixture case. The</w:t>
      </w:r>
      <w:r>
        <w:t xml:space="preserve"> </w:t>
      </w:r>
      <w:r>
        <w:t xml:space="preserve">“</w:t>
      </w:r>
      <w:r>
        <w:t xml:space="preserve">dark belt</w:t>
      </w:r>
      <w:r>
        <w:t xml:space="preserve">”</w:t>
      </w:r>
      <w:r>
        <w:t xml:space="preserve"> </w:t>
      </w:r>
      <w:r>
        <w:t xml:space="preserve">covers the preferred populations. j-l)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j) for bispecifics, fully bound ligands versus general ligand bound, k) bispecific versus monovalent mixture, the untethered, l) bispecific versus a 50%-50% mixture of bivalent.</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11</m:t>
            </m:r>
          </m:sub>
        </m:sSub>
        <m:r>
          <m:t>=</m:t>
        </m:r>
        <m:sSup>
          <m:e>
            <m:r>
              <m:t>10</m:t>
            </m:r>
          </m:e>
          <m:sup>
            <m:r>
              <m:t>7</m:t>
            </m:r>
          </m:sup>
        </m:sSup>
        <m:sSup>
          <m:e>
            <m:r>
              <m:rPr>
                <m:sty m:val="p"/>
              </m:rPr>
              <m:t>M</m:t>
            </m:r>
          </m:e>
          <m:sup>
            <m:r>
              <m:rPr>
                <m:sty m:val="p"/>
              </m:rPr>
              <m:t>−</m:t>
            </m:r>
            <m:r>
              <m:rPr>
                <m:sty m:val="p"/>
              </m:rPr>
              <m:t>1</m:t>
            </m:r>
          </m:sup>
        </m:sSup>
        <m:r>
          <m:t>,</m:t>
        </m:r>
        <m:sSub>
          <m:e>
            <m:r>
              <m:t>K</m:t>
            </m:r>
          </m:e>
          <m:sub>
            <m:r>
              <m:t>22</m:t>
            </m:r>
          </m:sub>
        </m:sSub>
        <m:r>
          <m:t>=</m:t>
        </m:r>
        <m:sSup>
          <m:e>
            <m:r>
              <m:t>10</m:t>
            </m:r>
          </m:e>
          <m:sup>
            <m:r>
              <m:t>6</m:t>
            </m:r>
          </m:sup>
        </m:sSup>
        <m:sSup>
          <m:e>
            <m:r>
              <m:rPr>
                <m:sty m:val="p"/>
              </m:rPr>
              <m:t>M</m:t>
            </m:r>
          </m:e>
          <m:sup>
            <m:r>
              <m:rPr>
                <m:sty m:val="p"/>
              </m:rPr>
              <m:t>−</m:t>
            </m:r>
            <m:r>
              <m:rPr>
                <m:sty m:val="p"/>
              </m:rPr>
              <m:t>1</m:t>
            </m:r>
          </m:sup>
        </m:sSup>
        <m:r>
          <m:t>,</m:t>
        </m:r>
        <m:sSub>
          <m:e>
            <m:r>
              <m:t>K</m:t>
            </m:r>
          </m:e>
          <m:sub>
            <m:r>
              <m:t>12</m:t>
            </m:r>
          </m:sub>
        </m:sSub>
        <m:r>
          <m:t>=</m:t>
        </m:r>
        <m:sSub>
          <m:e>
            <m:r>
              <m:t>K</m:t>
            </m:r>
          </m:e>
          <m:sub>
            <m:r>
              <m:t>21</m:t>
            </m:r>
          </m:sub>
        </m:sSub>
        <m:r>
          <m:t>=</m:t>
        </m:r>
        <m:sSup>
          <m:e>
            <m:r>
              <m:t>10</m:t>
            </m:r>
          </m:e>
          <m:sup>
            <m:r>
              <m:t>5</m:t>
            </m:r>
          </m:sup>
        </m:sSup>
        <m:sSup>
          <m:e>
            <m:r>
              <m:rPr>
                <m:sty m:val="p"/>
              </m:rPr>
              <m:t>M</m:t>
            </m:r>
          </m:e>
          <m:sup>
            <m:r>
              <m:rPr>
                <m:sty m:val="p"/>
              </m:rPr>
              <m:t>−</m:t>
            </m:r>
            <m:r>
              <m:rPr>
                <m:sty m:val="p"/>
              </m:rPr>
              <m:t>1</m:t>
            </m:r>
          </m:sup>
        </m:sSup>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 Predictions of fully bound ligand in a mixture of two homogeneous bivalent drugs, which is different from the bispecific case. h) Bispecific fully bound normalized by its untethered counterpart, mixture of monovalents. Bispecific prefers doubly-positive populations. i) Bispecific fully bound normalized by its equivalent homogeneous bivalent mixture case. The</w:t>
      </w:r>
      <w:r>
        <w:t xml:space="preserve"> </w:t>
      </w:r>
      <w:r>
        <w:t xml:space="preserve">“</w:t>
      </w:r>
      <w:r>
        <w:t xml:space="preserve">dark belt</w:t>
      </w:r>
      <w:r>
        <w:t xml:space="preserve">”</w:t>
      </w:r>
      <w:r>
        <w:t xml:space="preserve"> </w:t>
      </w:r>
      <w:r>
        <w:t xml:space="preserve">covers the preferred populations. j-l)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j) for bispecifics, fully bound ligands versus general ligand bound, k) bispecific versus monovalent mixture, the untethered, l) bispecific versus a 50%-50% mixture of bivalent.</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Example:</w:t>
      </w:r>
      <w:hyperlink w:anchor="ref-y7JtEfom">
        <w:r>
          <w:rPr>
            <w:rStyle w:val="Hyperlink"/>
            <w:vertAlign w:val="superscript"/>
          </w:rPr>
          <w:t xml:space="preserve">24</w:t>
        </w:r>
      </w:hyperlink>
    </w:p>
    <w:p>
      <w:pPr>
        <w:pStyle w:val="BodyText"/>
      </w:pPr>
      <w:r>
        <w:t xml:space="preserve">While each therapeutic design methodology discussed in this work can drive superior cell-type selectivity in certain situations, the advantages of intersecting these design strategies has yet to be thoroughly explored. Combining ligand design features such as affinity modulation, increasing valency, and mixing therapeutics offers a potential route for synergistically combining the effects offered by each. We explored these potential synergies using a quasi-newton optimizer to determine the optimally cell-type selective ligand for our theoretical cell populations.</w:t>
      </w:r>
    </w:p>
    <w:p>
      <w:pPr>
        <w:pStyle w:val="BodyText"/>
      </w:pPr>
      <w:r>
        <w:t xml:space="preserve">It is often the case that target cell populations express receptors common to a range of adjacent, off-target populations. Thus, we sought to determine the optimal ligand for particular cell populations while considering all other theoretical populations to exist as off-target cells. By optimizing within bounds that restricted all ligand modulations, we set our initial binding selectivity performance metric (Fig.</w:t>
      </w:r>
      <w:r>
        <w:t xml:space="preserve"> </w:t>
      </w:r>
      <w:hyperlink w:anchor="fig:combination">
        <w:r>
          <w:rPr>
            <w:rStyle w:val="Hyperlink"/>
          </w:rPr>
          <w:t xml:space="preserve">6</w:t>
        </w:r>
      </w:hyperlink>
      <w:r>
        <w:t xml:space="preserve">). To simulate the effects that affinity engineering could impart on selectivity, we then allowed ligand-receptor affinities to be varied. To understand the effects of valency and mixture engineering on selectivity, we allowed ligand valency and mixtures to vary, while also allowing affinity to vary due to the previously noted reliance that these strategies have on receptor-ligand kinetics. Finally, all ligand parameters were allowed to vary to simulate the effects of combining therapeutic engineering approaches.</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combined affinity and valency individually impart greater specificity, and optimal selectivity is achieved by synergistically combining these two strategies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Here, and in many cases, a dominant therapeutic design strategy emerges without consideration of all possible engineering avenues.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 While affinity, valency, and mixture engineering are able to impart some small contributions to enhanced selectivity, significant improvement is only achieved when combining all aforementioned strategies (Fig.</w:t>
      </w:r>
      <w:r>
        <w:t xml:space="preserve"> </w:t>
      </w:r>
      <w:hyperlink w:anchor="fig:combination">
        <w:r>
          <w:rPr>
            <w:rStyle w:val="Hyperlink"/>
          </w:rPr>
          <w:t xml:space="preserve">6</w:t>
        </w:r>
      </w:hyperlink>
      <w:r>
        <w:t xml:space="preserve">g-l). Here, synergistic combination of strategies can be employed to great effect, granting far superior ligand selectivity.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which lies in the midst of the other populations in receptor expression space (Fig.</w:t>
      </w:r>
      <w:r>
        <w:t xml:space="preserve"> </w:t>
      </w:r>
      <w:hyperlink w:anchor="fig:mixture">
        <w:r>
          <w:rPr>
            <w:rStyle w:val="Hyperlink"/>
          </w:rPr>
          <w:t xml:space="preserve">4</w:t>
        </w:r>
      </w:hyperlink>
      <w:r>
        <w:t xml:space="preserve">m-r). Here, solely allowing for modulation of affinity, or combining it with mixture-based strategies is ineffective. Only with the introduction of valency modulation is selectivity significantly enhanced. However, an alternative approach to targeting</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is presented in Fig.</w:t>
      </w:r>
      <w:r>
        <w:t xml:space="preserve"> </w:t>
      </w:r>
      <w:hyperlink w:anchor="fig:combination">
        <w:r>
          <w:rPr>
            <w:rStyle w:val="Hyperlink"/>
          </w:rPr>
          <w:t xml:space="preserve">6</w:t>
        </w:r>
      </w:hyperlink>
      <w:r>
        <w:t xml:space="preserve">s-v. Here the population is exposed to a mixture of an octovalent</w:t>
      </w:r>
      <w:r>
        <w:t xml:space="preserve"> </w:t>
      </w:r>
      <w:r>
        <w:t xml:space="preserve">“</w:t>
      </w:r>
      <w:r>
        <w:t xml:space="preserve">dead</w:t>
      </w:r>
      <w:r>
        <w:t xml:space="preserve">”</w:t>
      </w:r>
      <w:r>
        <w:t xml:space="preserve"> </w:t>
      </w:r>
      <w:r>
        <w:t xml:space="preserve">ligand which can bind receptors 1 and 2 but is assumed to not induce signaling response and a therapeutic monovalent ligand with optimized affinities. Results are normalized to the selectivity imparted when the dead ligand is non-binding (Fig.</w:t>
      </w:r>
      <w:r>
        <w:t xml:space="preserve"> </w:t>
      </w:r>
      <w:hyperlink w:anchor="fig:combination">
        <w:r>
          <w:rPr>
            <w:rStyle w:val="Hyperlink"/>
          </w:rPr>
          <w:t xml:space="preserve">6</w:t>
        </w:r>
      </w:hyperlink>
      <w:r>
        <w:t xml:space="preserve">s). We see here that enhanced selectivity can be achieved by these means, as the dead ligand blocks many of the available receptors on populations expressing higher abundances (Fig.</w:t>
      </w:r>
      <w:r>
        <w:t xml:space="preserve"> </w:t>
      </w:r>
      <w:hyperlink w:anchor="fig:mixture">
        <w:r>
          <w:rPr>
            <w:rStyle w:val="Hyperlink"/>
          </w:rPr>
          <w:t xml:space="preserve">4</w:t>
        </w:r>
      </w:hyperlink>
      <w:r>
        <w:t xml:space="preserve">u).</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sSup>
          <m:e>
            <m:r>
              <m:t>10</m:t>
            </m:r>
          </m:e>
          <m:sup>
            <m:r>
              <m:t>6</m:t>
            </m:r>
          </m:sup>
        </m:sSup>
        <m:sSup>
          <m:e>
            <m:r>
              <m:rPr>
                <m:sty m:val="p"/>
              </m:rPr>
              <m:t>M</m:t>
            </m:r>
          </m:e>
          <m:sup>
            <m:r>
              <m:rPr>
                <m:sty m:val="p"/>
              </m:rPr>
              <m:t>−</m:t>
            </m:r>
            <m:r>
              <m:rPr>
                <m:sty m:val="p"/>
              </m:rPr>
              <m:t>1</m:t>
            </m:r>
          </m:sup>
        </m:sSup>
      </m:oMath>
      <w:r>
        <w:t xml:space="preserve"> </w:t>
      </w:r>
      <w:r>
        <w:t xml:space="preserve">for both receptor 1 and 2. Affinity was allowed to vary between</w:t>
      </w:r>
      <w:r>
        <w:t xml:space="preserve"> </w:t>
      </w:r>
      <m:oMath>
        <m:sSup>
          <m:e>
            <m:r>
              <m:t>10</m:t>
            </m:r>
          </m:e>
          <m:sup>
            <m:r>
              <m:t>2</m:t>
            </m:r>
          </m:sup>
        </m:sSup>
        <m:sSup>
          <m:e>
            <m:r>
              <m:rPr>
                <m:sty m:val="p"/>
              </m:rPr>
              <m:t>M</m:t>
            </m:r>
          </m:e>
          <m:sup>
            <m:r>
              <m:rPr>
                <m:sty m:val="p"/>
              </m:rPr>
              <m:t>−</m:t>
            </m:r>
            <m:r>
              <m:rPr>
                <m:sty m:val="p"/>
              </m:rPr>
              <m:t>1</m:t>
            </m:r>
          </m:sup>
        </m:sSup>
      </m:oMath>
      <w:r>
        <w:t xml:space="preserve"> </w:t>
      </w:r>
      <w:r>
        <w:t xml:space="preserve">and</w:t>
      </w:r>
      <w:r>
        <w:t xml:space="preserve"> </w:t>
      </w:r>
      <m:oMath>
        <m:sSup>
          <m:e>
            <m:r>
              <m:t>10</m:t>
            </m:r>
          </m:e>
          <m:sup>
            <m:r>
              <m:t>10</m:t>
            </m:r>
          </m:sup>
        </m:sSup>
        <m:sSup>
          <m:e>
            <m:r>
              <m:rPr>
                <m:sty m:val="p"/>
              </m:rPr>
              <m:t>M</m:t>
            </m:r>
          </m:e>
          <m:sup>
            <m:r>
              <m:rPr>
                <m:sty m:val="p"/>
              </m:rPr>
              <m:t>−</m:t>
            </m:r>
            <m:r>
              <m:rPr>
                <m:sty m:val="p"/>
              </m:rPr>
              <m:t>1</m:t>
            </m:r>
          </m:sup>
        </m:sSup>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monovalent,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sSup>
          <m:e>
            <m:r>
              <m:t>10</m:t>
            </m:r>
          </m:e>
          <m:sup>
            <m:r>
              <m:t>6</m:t>
            </m:r>
          </m:sup>
        </m:sSup>
        <m:sSup>
          <m:e>
            <m:r>
              <m:rPr>
                <m:sty m:val="p"/>
              </m:rPr>
              <m:t>M</m:t>
            </m:r>
          </m:e>
          <m:sup>
            <m:r>
              <m:rPr>
                <m:sty m:val="p"/>
              </m:rPr>
              <m:t>−</m:t>
            </m:r>
            <m:r>
              <m:rPr>
                <m:sty m:val="p"/>
              </m:rPr>
              <m:t>1</m:t>
            </m:r>
          </m:sup>
        </m:sSup>
      </m:oMath>
      <w:r>
        <w:t xml:space="preserve"> </w:t>
      </w:r>
      <w:r>
        <w:t xml:space="preserve">for both receptor 1 and 2. Affinity was allowed to vary between</w:t>
      </w:r>
      <w:r>
        <w:t xml:space="preserve"> </w:t>
      </w:r>
      <m:oMath>
        <m:sSup>
          <m:e>
            <m:r>
              <m:t>10</m:t>
            </m:r>
          </m:e>
          <m:sup>
            <m:r>
              <m:t>2</m:t>
            </m:r>
          </m:sup>
        </m:sSup>
        <m:sSup>
          <m:e>
            <m:r>
              <m:rPr>
                <m:sty m:val="p"/>
              </m:rPr>
              <m:t>M</m:t>
            </m:r>
          </m:e>
          <m:sup>
            <m:r>
              <m:rPr>
                <m:sty m:val="p"/>
              </m:rPr>
              <m:t>−</m:t>
            </m:r>
            <m:r>
              <m:rPr>
                <m:sty m:val="p"/>
              </m:rPr>
              <m:t>1</m:t>
            </m:r>
          </m:sup>
        </m:sSup>
      </m:oMath>
      <w:r>
        <w:t xml:space="preserve"> </w:t>
      </w:r>
      <w:r>
        <w:t xml:space="preserve">and</w:t>
      </w:r>
      <w:r>
        <w:t xml:space="preserve"> </w:t>
      </w:r>
      <m:oMath>
        <m:sSup>
          <m:e>
            <m:r>
              <m:t>10</m:t>
            </m:r>
          </m:e>
          <m:sup>
            <m:r>
              <m:t>10</m:t>
            </m:r>
          </m:sup>
        </m:sSup>
        <m:sSup>
          <m:e>
            <m:r>
              <m:rPr>
                <m:sty m:val="p"/>
              </m:rPr>
              <m:t>M</m:t>
            </m:r>
          </m:e>
          <m:sup>
            <m:r>
              <m:rPr>
                <m:sty m:val="p"/>
              </m:rPr>
              <m:t>−</m:t>
            </m:r>
            <m:r>
              <m:rPr>
                <m:sty m:val="p"/>
              </m:rPr>
              <m:t>1</m:t>
            </m:r>
          </m:sup>
        </m:sSup>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monovalent,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3e765bd312a14d14dd635be5d547990f6b5890d"/>
      <w:r>
        <w:t xml:space="preserve">Exploiting Combinations of Receptor Agonists and Antagonists for Enhanced Selectivity</w:t>
      </w:r>
      <w:bookmarkEnd w:id="44"/>
    </w:p>
    <w:p>
      <w:pPr>
        <w:pStyle w:val="FirstParagraph"/>
      </w:pPr>
      <w:r>
        <w:t xml:space="preserve">While the situational benefits of ligand affinity modulation, valency engineering, and mixing of therapeutic ligands have been explored singularly and in combination, there remain some target and off-target populations which remain difficult to impart selectivity to. For example, achieving binding selectivity for target populations expressing moderate amounts of receptors compared to off-target populations remains challenging (Fig.</w:t>
      </w:r>
      <w:r>
        <w:t xml:space="preserve"> </w:t>
      </w:r>
      <w:hyperlink w:anchor="fig:combination">
        <w:r>
          <w:rPr>
            <w:rStyle w:val="Hyperlink"/>
          </w:rPr>
          <w:t xml:space="preserve">6</w:t>
        </w:r>
      </w:hyperlink>
      <w:r>
        <w:t xml:space="preserve">m-r). Here, we explore the utility of receptor antagonists for the blocking of off-target populations’ receptors.</w:t>
      </w:r>
    </w:p>
    <w:p>
      <w:pPr>
        <w:pStyle w:val="BodyText"/>
      </w:pPr>
      <w:r>
        <w:t xml:space="preserve">Mixtures of receptor agonists and antagonists are dependent both on the affinity and valency structure of antagonistic ligand. We explore the benefits to selectivity imparted by a tetravalent antagonist (Fig.</w:t>
      </w:r>
      <w:r>
        <w:t xml:space="preserve"> </w:t>
      </w:r>
      <w:hyperlink w:anchor="fig:deadLig">
        <w:r>
          <w:rPr>
            <w:rStyle w:val="Hyperlink"/>
          </w:rPr>
          <w:t xml:space="preserve">7</w:t>
        </w:r>
      </w:hyperlink>
      <w:r>
        <w:t xml:space="preserve">). Here, it is shown that selectivity for</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against all other populations using a monovalent ligand can be improved by combining the therapeutic with a tetravalent antagonist with similar affinities for receptor one and two (Fig.</w:t>
      </w:r>
      <w:r>
        <w:t xml:space="preserve"> </w:t>
      </w:r>
      <w:hyperlink w:anchor="fig:deadLig">
        <w:r>
          <w:rPr>
            <w:rStyle w:val="Hyperlink"/>
          </w:rPr>
          <w:t xml:space="preserve">7</w:t>
        </w:r>
      </w:hyperlink>
      <w:r>
        <w:t xml:space="preserve">a). The mechanism which is responsible for this, and which allows for combinations of monovalent agonistic ligands and multivalent antogonistic ligands to uniquely target populations expressing small or intermediate amounts of recepotrs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e). Here, a nearly ten 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f).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c,g).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a,e) Selectivity for</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against all other populations (a), 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(e) 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b-d,f-h) Heatmap of agonist (b,f), and antagonist (c,g) ligand bound for antagonist and agonist ligand combination shown to imaprt greatest selectivity improvement in (a). d,h) Heatmap of agonist bound in b,c (d) and f,g (h)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a,e) Selectivity for</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against all other populations (a), 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(e) 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b-d,f-h) Heatmap of agonist (b,f), and antagonist (c,g) ligand bound for antagonist and agonist ligand combination shown to imaprt greatest selectivity improvement in (a). d,h) Heatmap of agonist bound in b,c (d) and f,g (h)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We compared a few different strategies, including changes to affinity, ligand valency, mixtures of species, multi-specificity, and these in combination. Our analysis was performed using a representative set of theoretical cell populations defined by their distinct expression of two receptors. We identified that each strategy helped to enhance specificity, but only in certain situations. The specific benefits of each strategy meant that their combination led to synergistic specificity enhancements.</w:t>
      </w:r>
    </w:p>
    <w:p>
      <w:pPr>
        <w:pStyle w:val="BodyText"/>
      </w:pPr>
      <w:r>
        <w:t xml:space="preserve">Each strategy’s contribution could be summarized by general patterns. We found that affinity changes were most effective when the target and off-target populations expressed distinct combinations receptors (Fig.</w:t>
      </w:r>
      <w:r>
        <w:t xml:space="preserve"> </w:t>
      </w:r>
      <w:hyperlink w:anchor="fig:affinity">
        <w:r>
          <w:rPr>
            <w:rStyle w:val="Hyperlink"/>
          </w:rPr>
          <w:t xml:space="preserve">2</w:t>
        </w:r>
      </w:hyperlink>
      <w:r>
        <w:t xml:space="preserve">). Increasing the affinity of the receptors that are more abundantly expressed on the target cells, and decreasing those that are not, increased the binding selectivity, with greater differences in receptor patterns corresponding to greater benefits. When target and off-target populations had similar receptor expression profiles and only differed in amounts, valency, but not affinity, changes were effective (Fig.</w:t>
      </w:r>
      <w:r>
        <w:t xml:space="preserve"> </w:t>
      </w:r>
      <w:hyperlink w:anchor="fig:valency">
        <w:r>
          <w:rPr>
            <w:rStyle w:val="Hyperlink"/>
          </w:rPr>
          <w:t xml:space="preserve">3</w:t>
        </w:r>
      </w:hyperlink>
      <w:r>
        <w:t xml:space="preserve">). The efficacy of valency changes was greatly dependent on the kinetics of the receptor-ligand interactions and the difference in receptor abundance as the secondary binding and unbinding rates were a key determinant. Mixtures of therapeutic ligands were found to be mostly ineffective in imparting binding selectivity, but had modest benefits with multiple off-target populations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we restricted our binding quantity to be both subunits bound (Fig.</w:t>
      </w:r>
      <w:r>
        <w:t xml:space="preserve"> </w:t>
      </w:r>
      <w:hyperlink w:anchor="fig:bispecific">
        <w:r>
          <w:rPr>
            <w:rStyle w:val="Hyperlink"/>
          </w:rPr>
          <w:t xml:space="preserve">5</w:t>
        </w:r>
      </w:hyperlink>
      <w:r>
        <w:t xml:space="preserve">). They prefer target populations that have high expression of both receptors over those with high expression of only a single receptor, with the preference for secondary binding as the key determinant for the magnitude of advancement.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allowed improved selectivity for target populations expressing relatively fewer receptors to off-target populations.</w:t>
      </w:r>
    </w:p>
    <w:p>
      <w:pPr>
        <w:pStyle w:val="BodyText"/>
      </w:pPr>
      <w:r>
        <w:t xml:space="preserve">A number of strategies are already utilized in existing engineered therapies. For example, affinity changes in the cytokine IL-2 have been used to bias its effects towards either effector or regulatory immune populations.</w:t>
      </w:r>
      <w:hyperlink w:anchor="ref-FqWAsZ7z">
        <w:r>
          <w:rPr>
            <w:rStyle w:val="Hyperlink"/>
            <w:vertAlign w:val="superscript"/>
          </w:rPr>
          <w:t xml:space="preserve">25</w:t>
        </w:r>
      </w:hyperlink>
      <w:r>
        <w:rPr>
          <w:vertAlign w:val="superscript"/>
        </w:rPr>
        <w:t xml:space="preserve">,</w:t>
      </w:r>
      <w:hyperlink w:anchor="ref-L2k7ECfb">
        <w:r>
          <w:rPr>
            <w:rStyle w:val="Hyperlink"/>
            <w:vertAlign w:val="superscript"/>
          </w:rPr>
          <w:t xml:space="preserve">26</w:t>
        </w:r>
      </w:hyperlink>
      <w:r>
        <w:t xml:space="preserve"> </w:t>
      </w:r>
      <w:r>
        <w:t xml:space="preserve">Varying the valency of tumor-targeted antibodies leads to targeted cell clearance based upon the levels of expressed antigen.</w:t>
      </w:r>
      <w:hyperlink w:anchor="ref-IanZRiFA">
        <w:r>
          <w:rPr>
            <w:rStyle w:val="Hyperlink"/>
            <w:vertAlign w:val="superscript"/>
          </w:rPr>
          <w:t xml:space="preserve">16</w:t>
        </w:r>
      </w:hyperlink>
      <w:r>
        <w:t xml:space="preserve"> </w:t>
      </w:r>
      <w:r>
        <w:t xml:space="preserve">Manipulation of the affinities of fibronectin domains displayed by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17</w:t>
        </w:r>
      </w:hyperlink>
      <w:r>
        <w:t xml:space="preserve"> </w:t>
      </w:r>
      <w:r>
        <w:t xml:space="preserve">The advantages offered by therapeutics reliant on low-affinity, multivalent interactions to selectively bind cells with high receptor expression densities were also described in a study considering a therapeutic reliant on multivalent complement binding to small-molecule therapeutics with αvβ3 binding domains, which is expressed at higher densities on tumor cells, and ⍺-Gal binding domains which are recognized by multivalent human anti-α-galactosyl antibodies.</w:t>
      </w:r>
      <w:hyperlink w:anchor="ref-B0xrCfE3">
        <w:r>
          <w:rPr>
            <w:rStyle w:val="Hyperlink"/>
            <w:vertAlign w:val="superscript"/>
          </w:rPr>
          <w:t xml:space="preserve">13</w:t>
        </w:r>
      </w:hyperlink>
      <w:r>
        <w:t xml:space="preserve"> </w:t>
      </w:r>
      <w:r>
        <w:t xml:space="preserve">These examples lend support to the accuracy of our model. At the same time, recognizing the previously described ligand engineering approaches as separable strategies provides clearer guidance for future engineering.</w:t>
      </w:r>
    </w:p>
    <w:p>
      <w:pPr>
        <w:pStyle w:val="BodyText"/>
      </w:pPr>
      <w:r>
        <w:t xml:space="preserve">Nonetheless, many optimization strategies described in this study have not been exploited in pharmaceutical practice yet, not because of the lack of consideration but due to the complexity of real biological contexts. First, some strategies are not practical biochemically. For example, the manipulation of ligand affinity requires intricate protein engineering. While the direction of affinity changes can be predicted, dictating the affinity of an engineered molecular a priori is almost unattainable. Moreover, it is very likely altering the affinity of a ligand to the receptor of interest can change the affinity of it to other receptors, which may offset the intended benefit in improving selectivity. Also, the change in the receptor expression profile of a cell population complicates the matter. It is well documented that cancer cells can escape therapeutic targeting by upregulating</w:t>
      </w:r>
      <w:hyperlink w:anchor="ref-3WVNxYBN">
        <w:r>
          <w:rPr>
            <w:rStyle w:val="Hyperlink"/>
            <w:vertAlign w:val="superscript"/>
          </w:rPr>
          <w:t xml:space="preserve">27</w:t>
        </w:r>
      </w:hyperlink>
      <w:r>
        <w:rPr>
          <w:vertAlign w:val="superscript"/>
        </w:rPr>
        <w:t xml:space="preserve">,</w:t>
      </w:r>
      <w:hyperlink w:anchor="ref-PIRfSNMl">
        <w:r>
          <w:rPr>
            <w:rStyle w:val="Hyperlink"/>
            <w:vertAlign w:val="superscript"/>
          </w:rPr>
          <w:t xml:space="preserve">28</w:t>
        </w:r>
      </w:hyperlink>
      <w:r>
        <w:t xml:space="preserve"> </w:t>
      </w:r>
      <w:r>
        <w:t xml:space="preserve">or downregulating</w:t>
      </w:r>
      <w:hyperlink w:anchor="ref-uMIi8rGN">
        <w:r>
          <w:rPr>
            <w:rStyle w:val="Hyperlink"/>
            <w:vertAlign w:val="superscript"/>
          </w:rPr>
          <w:t xml:space="preserve">29</w:t>
        </w:r>
      </w:hyperlink>
      <w:r>
        <w:t xml:space="preserve"> </w:t>
      </w:r>
      <w:r>
        <w:t xml:space="preserve">certain receptors. In this case, not only should the abundance of receptors be considered, but also their variance within a cell population over time. The effects of expression change on the efficacy of a therapeutic are not evident without a mechanism-based analysis. Furthermore, while we explore the efficacy of combining monovalent agonists with multivalent antagonists for targeting cells expressing relatively fewer receptors to off-target populations, the complexity of engineering the affinities of both ligands makes effective implementation of the strategy much more difficult in practice. While this work does not intend to solve every aspect of these issues, we propose that using a computational binding model can analyze these strategies quantitatively and collectively from a mechanistic perspective. Even when the absolute mathematical optimum cannot be achieved biochemically, our analyses provide good guidance to what is attainable and how to approach the optimum, accounting those biological complexities and facilitating the implementation of complicated combinations of several strategies.</w:t>
      </w:r>
    </w:p>
    <w:p>
      <w:pPr>
        <w:pStyle w:val="BodyText"/>
      </w:pPr>
      <w:r>
        <w:t xml:space="preserve">While the exploration of our multivalent binding model has elucidated strategies for selective targeting of many populations with respect to one or many off-target populations, several inter-population receptor expression relationships remain challenging to impart selectivity to. For example, target populations that unilaterally express fewer receptors of every type than off-target populations present a unique challenge for the design of a selective ligand. While we computationally show the potential for the simultaneous use of multivalent</w:t>
      </w:r>
      <w:r>
        <w:t xml:space="preserve"> </w:t>
      </w:r>
      <w:r>
        <w:t xml:space="preserve">“</w:t>
      </w:r>
      <w:r>
        <w:t xml:space="preserve">dead</w:t>
      </w:r>
      <w:r>
        <w:t xml:space="preserve">”</w:t>
      </w:r>
      <w:r>
        <w:t xml:space="preserve"> </w:t>
      </w:r>
      <w:r>
        <w:t xml:space="preserve">ligands, which bind but do not induce a response, and monovalent</w:t>
      </w:r>
      <w:r>
        <w:t xml:space="preserve"> </w:t>
      </w:r>
      <w:r>
        <w:t xml:space="preserve">“</w:t>
      </w:r>
      <w:r>
        <w:t xml:space="preserve">live</w:t>
      </w:r>
      <w:r>
        <w:t xml:space="preserve">”</w:t>
      </w:r>
      <w:r>
        <w:t xml:space="preserve"> </w:t>
      </w:r>
      <w:r>
        <w:t xml:space="preserve">ligands to exploit reduced receptor expression levels, the translation of such a therapeutic to a clinical application remains questionable (Fig.</w:t>
      </w:r>
      <w:r>
        <w:t xml:space="preserve"> </w:t>
      </w:r>
      <w:hyperlink w:anchor="fig:combination">
        <w:r>
          <w:rPr>
            <w:rStyle w:val="Hyperlink"/>
          </w:rPr>
          <w:t xml:space="preserve">6</w:t>
        </w:r>
      </w:hyperlink>
      <w:r>
        <w:t xml:space="preserve"> </w:t>
      </w:r>
      <w:r>
        <w:t xml:space="preserve">s-v). In cases where a target population expresses fewer receptors of any kind than an off-target population, our analysis suggests that other target receptors or therapeutic strategies should be considered. However, in cases where target populations express more of any type of receptor than an off-target population, we show that one or more of our formulated ligand engineering strategies can be employed to improve binding selectivity.</w:t>
      </w:r>
    </w:p>
    <w:p>
      <w:pPr>
        <w:pStyle w:val="BodyText"/>
      </w:pPr>
      <w:r>
        <w:t xml:space="preserve">In many therapeutic applications where selective engagement of target cell populations is an important performance metric, such as the treatment of cancer, cellular engineering is becoming increasingly popular.</w:t>
      </w:r>
      <w:hyperlink w:anchor="ref-bi6A2xzH">
        <w:r>
          <w:rPr>
            <w:rStyle w:val="Hyperlink"/>
            <w:vertAlign w:val="superscript"/>
          </w:rPr>
          <w:t xml:space="preserve">30</w:t>
        </w:r>
      </w:hyperlink>
      <w:r>
        <w:t xml:space="preserve"> </w:t>
      </w:r>
      <w:r>
        <w:t xml:space="preserve">Human engineered chimeric antigen receptor (CAR) T cells are being introduced in the clinical setting at a rapid rate, and advances in genetic engineering technologies have enhanced the potential of engineered immune cells to recognize and attack malignant tissues.</w:t>
      </w:r>
      <w:hyperlink w:anchor="ref-Fp4dDXV1">
        <w:r>
          <w:rPr>
            <w:rStyle w:val="Hyperlink"/>
            <w:vertAlign w:val="superscript"/>
          </w:rPr>
          <w:t xml:space="preserve">31</w:t>
        </w:r>
      </w:hyperlink>
      <w:r>
        <w:t xml:space="preserve"> </w:t>
      </w:r>
      <w:r>
        <w:t xml:space="preserve">These technologies bypass ligand-receptor binding considerations by manipulating the complexities of the immune system to attack cells expressing particular receptors. However, manipulations of the immune system inevitably lead to myriad unintended effects due to the complex regulatory mechanisms which control immune activation and activity. We have shown here that complex and targeted changes to the binding activity of simple therapeutic ligands can be achieved via simple ligand characteristic manipulation. These manipulations can be generally applied to achieve greater selectivity, as well as more precisely guided using a computational binding model. The impressive array of logic described in this study can be applied to guide rational ligand engineering applications. It should be noted that the application of this logic is reliant on knowledge of the target and off-target cell population receptor expression levels. Future application of the ligand binding logic described in this study could be guided using high throughputs single-cell profiling techniques, such as RNA-seq or high-parameter flow cytometry. A computational tool that could translate such data-sets into immediately applicable ligand design criteria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w:t>
      </w:r>
      <w:hyperlink w:anchor="ref-11gk5tUo7">
        <w:r>
          <w:rPr>
            <w:rStyle w:val="Hyperlink"/>
            <w:vertAlign w:val="superscript"/>
          </w:rPr>
          <w:t xml:space="preserve">21</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accoring to their relative proportion.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bind to at least one receptor on the cell is</w:t>
      </w:r>
    </w:p>
    <w:p>
      <w:pPr>
        <w:pStyle w:val="BodyText"/>
      </w:pPr>
      <w:r>
        <w:t xml:space="preserve">$$ L_{\mathrm{bound}} = \frac{L_0}{K_x^* } \left [\left(\sum_{i=1\\ j=0}^{i=N_L\\ j=N_R}{{φ_{ij}}^{q_{ij}}}\right)^f -1 \right] .$$</w:t>
      </w:r>
    </w:p>
    <w:p>
      <w:pPr>
        <w:pStyle w:val="Heading3"/>
      </w:pPr>
      <w:bookmarkStart w:id="51" w:name="Xc5fddc49d8b024fc5a44200e152f02646acf6d3"/>
      <w:r>
        <w:t xml:space="preserve">Generalized multivalent binding model with non-random complexes</w:t>
      </w:r>
      <w:bookmarkEnd w:id="51"/>
    </w:p>
    <w:p>
      <w:pPr>
        <w:pStyle w:val="FirstParagraph"/>
      </w:pPr>
      <w:r>
        <w:t xml:space="preserve">When complexes are engineered and so ligands are not randomly sorted into multivalent complexes, such as with the Fabs of bispecific antibodies, the proportions of each kind of complexes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w:t>
      </w:r>
      <w:r>
        <w:t xml:space="preserve">aforementioned.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w:t>
      </w:r>
    </w:p>
    <w:p>
      <w:pPr>
        <w:pStyle w:val="BodyText"/>
      </w:pPr>
      <w:r>
        <w:t xml:space="preserve">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SciPy function</w:t>
      </w:r>
      <w:r>
        <w:t xml:space="preserve"> </w:t>
      </w:r>
      <w:r>
        <w:rPr>
          <w:rStyle w:val="VerbatimChar"/>
        </w:rPr>
        <w:t xml:space="preserve">scipy.optimize.minimize</w:t>
      </w:r>
      <w:hyperlink w:anchor="ref-1GJeMVzz5">
        <w:r>
          <w:rPr>
            <w:rStyle w:val="Hyperlink"/>
            <w:vertAlign w:val="superscript"/>
          </w:rPr>
          <w:t xml:space="preserve">32</w:t>
        </w:r>
      </w:hyperlink>
      <w:r>
        <w:t xml:space="preserve"> </w:t>
      </w:r>
      <w:r>
        <w:t xml:space="preserve">to combine several strategies and achieve optimal selectivity. Unless specified otherwise, the initial values for the variables in the optimizations are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for mixture compostion, and</w:t>
      </w:r>
      <w:r>
        <w:t xml:space="preserve"> </w:t>
      </w:r>
      <m:oMath>
        <m:sSup>
          <m:e>
            <m:r>
              <m:t>10</m:t>
            </m:r>
          </m:e>
          <m:sup>
            <m:r>
              <m:t>6</m:t>
            </m:r>
          </m:sup>
        </m:sSup>
        <m:sSup>
          <m:e>
            <m:r>
              <m:rPr>
                <m:sty m:val="p"/>
              </m:rPr>
              <m:t>M</m:t>
            </m:r>
          </m:e>
          <m:sup>
            <m:r>
              <m:rPr>
                <m:sty m:val="p"/>
              </m:rPr>
              <m:t>−</m:t>
            </m:r>
            <m:r>
              <m:rPr>
                <m:sty m:val="p"/>
              </m:rPr>
              <m:t>1</m:t>
            </m:r>
          </m:sup>
        </m:sSup>
      </m:oMath>
      <w:r>
        <w:t xml:space="preserve"> </w:t>
      </w:r>
      <w:r>
        <w:t xml:space="preserve">for the affinity constants; the boundaries are</w:t>
      </w:r>
      <w:r>
        <w:t xml:space="preserve"> </w:t>
      </w:r>
      <m:oMath>
        <m:sSup>
          <m:e>
            <m:r>
              <m:t>10</m:t>
            </m:r>
          </m:e>
          <m:sup>
            <m:r>
              <m:t>−</m:t>
            </m:r>
            <m:r>
              <m:t>15</m:t>
            </m:r>
          </m:sup>
        </m:sSup>
      </m:oMath>
      <w:r>
        <w:t xml:space="preserve">~</w:t>
      </w:r>
      <m:oMath>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for mixture compostion, and</w:t>
      </w:r>
      <w:r>
        <w:t xml:space="preserve"> </w:t>
      </w:r>
      <m:oMath>
        <m:sSup>
          <m:e>
            <m:r>
              <m:t>10</m:t>
            </m:r>
          </m:e>
          <m:sup>
            <m:r>
              <m:t>2</m:t>
            </m:r>
          </m:sup>
        </m:sSup>
        <m:r>
          <m:t>∼</m:t>
        </m:r>
        <m:sSup>
          <m:e>
            <m:r>
              <m:t>10</m:t>
            </m:r>
          </m:e>
          <m:sup>
            <m:r>
              <m:t>10</m:t>
            </m:r>
          </m:sup>
        </m:sSup>
        <m:sSup>
          <m:e>
            <m:r>
              <m:rPr>
                <m:sty m:val="p"/>
              </m:rPr>
              <m:t>M</m:t>
            </m:r>
          </m:e>
          <m:sup>
            <m:r>
              <m:rPr>
                <m:sty m:val="p"/>
              </m:rPr>
              <m:t>−</m:t>
            </m:r>
            <m:r>
              <m:rPr>
                <m:sty m:val="p"/>
              </m:rPr>
              <m:t>1</m:t>
            </m:r>
          </m:sup>
        </m:sSup>
      </m:oMath>
      <w:r>
        <w:t xml:space="preserve"> </w:t>
      </w:r>
      <w:r>
        <w:t xml:space="preserve">for the affinity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sigma point filter,</w:t>
      </w:r>
      <w:hyperlink w:anchor="ref-VKATSjfe">
        <w:r>
          <w:rPr>
            <w:rStyle w:val="Hyperlink"/>
            <w:vertAlign w:val="superscript"/>
          </w:rPr>
          <w:t xml:space="preserve">33</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17</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magnitude to an</w:t>
      </w:r>
      <w:r>
        <w:t xml:space="preserve"> </w:t>
      </w:r>
      <m:oMath>
        <m:r>
          <m:t>E</m:t>
        </m:r>
        <m:r>
          <m:t>p</m:t>
        </m:r>
        <m:r>
          <m:t>C</m:t>
        </m:r>
        <m:r>
          <m:t>A</m:t>
        </m:r>
        <m:sSup>
          <m:e>
            <m:r>
              <m:t>M</m:t>
            </m:r>
          </m:e>
          <m:sup>
            <m:r>
              <m:t>H</m:t>
            </m:r>
            <m:r>
              <m:t>i</m:t>
            </m:r>
            <m:r>
              <m:t>g</m:t>
            </m:r>
            <m:r>
              <m:t>h</m:t>
            </m:r>
          </m:sup>
        </m:sSup>
      </m:oMath>
      <w:r>
        <w:t xml:space="preserve"> </w:t>
      </w:r>
      <w:r>
        <w:t xml:space="preserve">(3.3 x</w:t>
      </w:r>
      <w:r>
        <w:t xml:space="preserve"> </w:t>
      </w:r>
      <m:oMath>
        <m:sSup>
          <m:e>
            <m:r>
              <m:t>10</m:t>
            </m:r>
          </m:e>
          <m:sup>
            <m:r>
              <m:t>6</m:t>
            </m:r>
          </m:sup>
        </m:sSup>
      </m:oMath>
      <w:r>
        <w:t xml:space="preserve"> </w:t>
      </w:r>
      <w:r>
        <w:t xml:space="preserve">antigens/cell) population was measured using flow cytometry. We used a least squares optimization method,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Model is able to recapitulate experimental multivalent binding activity.</w:t>
      </w:r>
      <w:r>
        <w:t xml:space="preserve"> </w:t>
      </w:r>
      <w:r>
        <w:t xml:space="preserve">a) Experimental vs. predicted fluorescent units for MCF-7 cells expressing $3.8x</w:t>
      </w:r>
      <m:oMath>
        <m:sSup>
          <m:e>
            <m:r>
              <m:t>10</m:t>
            </m:r>
          </m:e>
          <m:sup>
            <m:r>
              <m:t>6</m:t>
            </m:r>
          </m:sup>
        </m:sSup>
      </m:oMath>
      <w:r>
        <w:t xml:space="preserve"> </w:t>
      </w:r>
      <w:r>
        <w:t xml:space="preserve">fibronectin receptors</w:t>
      </w:r>
      <w:r>
        <w:t xml:space="preserve"> </w:t>
      </w:r>
      <m:oMath>
        <m:r>
          <m:rPr>
            <m:sty m:val="p"/>
          </m:rPr>
          <m:t>c</m:t>
        </m:r>
        <m:r>
          <m:rPr>
            <m:sty m:val="p"/>
          </m:rPr>
          <m:t>e</m:t>
        </m:r>
        <m:r>
          <m:rPr>
            <m:sty m:val="p"/>
          </m:rPr>
          <m:t>l</m:t>
        </m:r>
        <m:r>
          <m:rPr>
            <m:sty m:val="p"/>
          </m:rPr>
          <m:t>l</m:t>
        </m:r>
      </m:oMath>
      <w:r>
        <w:t xml:space="preserve"> </w:t>
      </w:r>
      <w:r>
        <w:t xml:space="preserve">bound to nanorings expressing one, two, four or eight fibronectin binding domains at concentrations ranging from 1.6</w:t>
      </w:r>
      <w:r>
        <w:t xml:space="preserve"> </w:t>
      </w:r>
      <m:oMath>
        <m:sSup>
          <m:e>
            <m:r>
              <m:t>10</m:t>
            </m:r>
          </m:e>
          <m:sup>
            <m:r>
              <m:t>−</m:t>
            </m:r>
            <m:r>
              <m:t>10</m:t>
            </m:r>
          </m:sup>
        </m:sSup>
        <m:r>
          <m:rPr>
            <m:sty m:val="p"/>
          </m:rPr>
          <m:t>M</m:t>
        </m:r>
      </m:oMath>
      <w:r>
        <w:t xml:space="preserve"> </w:t>
      </w:r>
      <w:r>
        <w:t xml:space="preserve">to 5</w:t>
      </w:r>
      <w:r>
        <w:t xml:space="preserve"> </w:t>
      </w:r>
      <m:oMath>
        <m:sSup>
          <m:e>
            <m:r>
              <m:t>10</m:t>
            </m:r>
          </m:e>
          <m:sup>
            <m:r>
              <m:t>−</m:t>
            </m:r>
            <m:r>
              <m:t>7</m:t>
            </m:r>
          </m:sup>
        </m:sSup>
        <m:r>
          <m:rPr>
            <m:sty m:val="p"/>
          </m:rPr>
          <m:t>M</m:t>
        </m:r>
      </m:oMath>
      <w:r>
        <w:t xml:space="preserve">. C5 and B22 are high and low affinity fibronectin binding domains respectively. Using a least-squares regression, the crosslinking coeffient was found to be 1.11</w:t>
      </w:r>
      <w:r>
        <w:t xml:space="preserve"> </w:t>
      </w:r>
      <m:oMath>
        <m:sSup>
          <m:e>
            <m:r>
              <m:t>10</m:t>
            </m:r>
          </m:e>
          <m:sup>
            <m:r>
              <m:t>−</m:t>
            </m:r>
            <m:r>
              <m:t>12</m:t>
            </m:r>
          </m:sup>
        </m:sSup>
      </m:oMath>
      <w:r>
        <w:t xml:space="preserve">, the association constants for C5 and B22 were found to be 5.78</w:t>
      </w:r>
      <w:r>
        <w:t xml:space="preserve"> </w:t>
      </w:r>
      <m:oMath>
        <m:sSup>
          <m:e>
            <m:r>
              <m:t>10</m:t>
            </m:r>
          </m:e>
          <m:sup>
            <m:r>
              <m:t>−</m:t>
            </m:r>
            <m:r>
              <m:t>5</m:t>
            </m:r>
          </m:sup>
        </m:sSup>
      </m:oMath>
      <w:r>
        <w:t xml:space="preserve">, 3.08</w:t>
      </w:r>
      <w:r>
        <w:t xml:space="preserve"> </w:t>
      </w:r>
      <m:oMath>
        <m:sSup>
          <m:e>
            <m:r>
              <m:t>10</m:t>
            </m:r>
          </m:e>
          <m:sup>
            <m:r>
              <m:t>−</m:t>
            </m:r>
            <m:r>
              <m:t>12</m:t>
            </m:r>
          </m:sup>
        </m:sSup>
      </m:oMath>
      <w:r>
        <w:t xml:space="preserve"> </w:t>
      </w:r>
      <w:r>
        <w:t xml:space="preserve">respectively, and ligand to fluorescent conversion factor for C5 and B22 were found to be 5.0</w:t>
      </w:r>
      <w:r>
        <w:t xml:space="preserve"> </w:t>
      </w:r>
      <m:oMath>
        <m:sSup>
          <m:e>
            <m:r>
              <m:t>10</m:t>
            </m:r>
          </m:e>
          <m:sup>
            <m:r>
              <m:t>−</m:t>
            </m:r>
            <m:r>
              <m:t>2</m:t>
            </m:r>
          </m:sup>
        </m:sSup>
      </m:oMath>
      <w:r>
        <w:t xml:space="preserve"> </w:t>
      </w:r>
      <w:r>
        <w:t xml:space="preserve">and 3.2</w:t>
      </w:r>
      <w:r>
        <w:t xml:space="preserve"> </w:t>
      </w:r>
      <m:oMath>
        <m:sSup>
          <m:e>
            <m:r>
              <m:t>10</m:t>
            </m:r>
          </m:e>
          <m:sup>
            <m:r>
              <m:t>−</m:t>
            </m:r>
            <m:r>
              <m:t>2</m:t>
            </m:r>
          </m:sup>
        </m:sSup>
      </m:oMath>
      <w:r>
        <w:t xml:space="preserve"> </w:t>
      </w:r>
      <w:r>
        <w:t xml:space="preserve">respectively. b) Predicted fluorescent values for cells expressing MDA cells expressing $5.2x</w:t>
      </w:r>
      <m:oMath>
        <m:sSup>
          <m:e>
            <m:r>
              <m:t>10</m:t>
            </m:r>
          </m:e>
          <m:sup>
            <m:r>
              <m:t>4</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SK cells expressing $2.2x</w:t>
      </w:r>
      <m:oMath>
        <m:sSup>
          <m:e>
            <m:r>
              <m:t>10</m:t>
            </m:r>
          </m:e>
          <m:sup>
            <m:r>
              <m:t>5</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LNCaP cells expressing $2.8x</w:t>
      </w:r>
      <m:oMath>
        <m:sSup>
          <m:e>
            <m:r>
              <m:t>10</m:t>
            </m:r>
          </m:e>
          <m:sup>
            <m:r>
              <m:t>6</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and MCF-7 cells expressing $3.8x</w:t>
      </w:r>
      <m:oMath>
        <m:sSup>
          <m:e>
            <m:r>
              <m:t>10</m:t>
            </m:r>
          </m:e>
          <m:sup>
            <m:r>
              <m:t>6</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w:t>
      </w:r>
      <w:r>
        <w:t xml:space="preserve">as described in Csizmar et al..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Model is able to recapitulate experimental multivalent binding activity.</w:t>
      </w:r>
      <w:r>
        <w:t xml:space="preserve"> </w:t>
      </w:r>
      <w:r>
        <w:t xml:space="preserve">a) Experimental vs. predicted fluorescent units for MCF-7 cells expressing $3.8x</w:t>
      </w:r>
      <m:oMath>
        <m:sSup>
          <m:e>
            <m:r>
              <m:t>10</m:t>
            </m:r>
          </m:e>
          <m:sup>
            <m:r>
              <m:t>6</m:t>
            </m:r>
          </m:sup>
        </m:sSup>
      </m:oMath>
      <w:r>
        <w:t xml:space="preserve"> </w:t>
      </w:r>
      <w:r>
        <w:t xml:space="preserve">fibronectin receptors</w:t>
      </w:r>
      <w:r>
        <w:t xml:space="preserve"> </w:t>
      </w:r>
      <m:oMath>
        <m:r>
          <m:rPr>
            <m:sty m:val="p"/>
          </m:rPr>
          <m:t>c</m:t>
        </m:r>
        <m:r>
          <m:rPr>
            <m:sty m:val="p"/>
          </m:rPr>
          <m:t>e</m:t>
        </m:r>
        <m:r>
          <m:rPr>
            <m:sty m:val="p"/>
          </m:rPr>
          <m:t>l</m:t>
        </m:r>
        <m:r>
          <m:rPr>
            <m:sty m:val="p"/>
          </m:rPr>
          <m:t>l</m:t>
        </m:r>
      </m:oMath>
      <w:r>
        <w:t xml:space="preserve"> </w:t>
      </w:r>
      <w:r>
        <w:t xml:space="preserve">bound to nanorings expressing one, two, four or eight fibronectin binding domains at concentrations ranging from 1.6</w:t>
      </w:r>
      <w:r>
        <w:t xml:space="preserve"> </w:t>
      </w:r>
      <m:oMath>
        <m:sSup>
          <m:e>
            <m:r>
              <m:t>10</m:t>
            </m:r>
          </m:e>
          <m:sup>
            <m:r>
              <m:t>−</m:t>
            </m:r>
            <m:r>
              <m:t>10</m:t>
            </m:r>
          </m:sup>
        </m:sSup>
        <m:r>
          <m:rPr>
            <m:sty m:val="p"/>
          </m:rPr>
          <m:t>M</m:t>
        </m:r>
      </m:oMath>
      <w:r>
        <w:t xml:space="preserve"> </w:t>
      </w:r>
      <w:r>
        <w:t xml:space="preserve">to 5</w:t>
      </w:r>
      <w:r>
        <w:t xml:space="preserve"> </w:t>
      </w:r>
      <m:oMath>
        <m:sSup>
          <m:e>
            <m:r>
              <m:t>10</m:t>
            </m:r>
          </m:e>
          <m:sup>
            <m:r>
              <m:t>−</m:t>
            </m:r>
            <m:r>
              <m:t>7</m:t>
            </m:r>
          </m:sup>
        </m:sSup>
        <m:r>
          <m:rPr>
            <m:sty m:val="p"/>
          </m:rPr>
          <m:t>M</m:t>
        </m:r>
      </m:oMath>
      <w:r>
        <w:t xml:space="preserve">. C5 and B22 are high and low affinity fibronectin binding domains respectively. Using a least-squares regression, the crosslinking coeffient was found to be 1.11</w:t>
      </w:r>
      <w:r>
        <w:t xml:space="preserve"> </w:t>
      </w:r>
      <m:oMath>
        <m:sSup>
          <m:e>
            <m:r>
              <m:t>10</m:t>
            </m:r>
          </m:e>
          <m:sup>
            <m:r>
              <m:t>−</m:t>
            </m:r>
            <m:r>
              <m:t>12</m:t>
            </m:r>
          </m:sup>
        </m:sSup>
      </m:oMath>
      <w:r>
        <w:t xml:space="preserve">, the association constants for C5 and B22 were found to be 5.78</w:t>
      </w:r>
      <w:r>
        <w:t xml:space="preserve"> </w:t>
      </w:r>
      <m:oMath>
        <m:sSup>
          <m:e>
            <m:r>
              <m:t>10</m:t>
            </m:r>
          </m:e>
          <m:sup>
            <m:r>
              <m:t>−</m:t>
            </m:r>
            <m:r>
              <m:t>5</m:t>
            </m:r>
          </m:sup>
        </m:sSup>
      </m:oMath>
      <w:r>
        <w:t xml:space="preserve">, 3.08</w:t>
      </w:r>
      <w:r>
        <w:t xml:space="preserve"> </w:t>
      </w:r>
      <m:oMath>
        <m:sSup>
          <m:e>
            <m:r>
              <m:t>10</m:t>
            </m:r>
          </m:e>
          <m:sup>
            <m:r>
              <m:t>−</m:t>
            </m:r>
            <m:r>
              <m:t>12</m:t>
            </m:r>
          </m:sup>
        </m:sSup>
      </m:oMath>
      <w:r>
        <w:t xml:space="preserve"> </w:t>
      </w:r>
      <w:r>
        <w:t xml:space="preserve">respectively, and ligand to fluorescent conversion factor for C5 and B22 were found to be 5.0</w:t>
      </w:r>
      <w:r>
        <w:t xml:space="preserve"> </w:t>
      </w:r>
      <m:oMath>
        <m:sSup>
          <m:e>
            <m:r>
              <m:t>10</m:t>
            </m:r>
          </m:e>
          <m:sup>
            <m:r>
              <m:t>−</m:t>
            </m:r>
            <m:r>
              <m:t>2</m:t>
            </m:r>
          </m:sup>
        </m:sSup>
      </m:oMath>
      <w:r>
        <w:t xml:space="preserve"> </w:t>
      </w:r>
      <w:r>
        <w:t xml:space="preserve">and 3.2</w:t>
      </w:r>
      <w:r>
        <w:t xml:space="preserve"> </w:t>
      </w:r>
      <m:oMath>
        <m:sSup>
          <m:e>
            <m:r>
              <m:t>10</m:t>
            </m:r>
          </m:e>
          <m:sup>
            <m:r>
              <m:t>−</m:t>
            </m:r>
            <m:r>
              <m:t>2</m:t>
            </m:r>
          </m:sup>
        </m:sSup>
      </m:oMath>
      <w:r>
        <w:t xml:space="preserve"> </w:t>
      </w:r>
      <w:r>
        <w:t xml:space="preserve">respectively. b) Predicted fluorescent values for cells expressing MDA cells expressing $5.2x</w:t>
      </w:r>
      <m:oMath>
        <m:sSup>
          <m:e>
            <m:r>
              <m:t>10</m:t>
            </m:r>
          </m:e>
          <m:sup>
            <m:r>
              <m:t>4</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SK cells expressing $2.2x</w:t>
      </w:r>
      <m:oMath>
        <m:sSup>
          <m:e>
            <m:r>
              <m:t>10</m:t>
            </m:r>
          </m:e>
          <m:sup>
            <m:r>
              <m:t>5</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LNCaP cells expressing $2.8x</w:t>
      </w:r>
      <m:oMath>
        <m:sSup>
          <m:e>
            <m:r>
              <m:t>10</m:t>
            </m:r>
          </m:e>
          <m:sup>
            <m:r>
              <m:t>6</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and MCF-7 cells expressing $3.8x</w:t>
      </w:r>
      <m:oMath>
        <m:sSup>
          <m:e>
            <m:r>
              <m:t>10</m:t>
            </m:r>
          </m:e>
          <m:sup>
            <m:r>
              <m:t>6</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w:t>
      </w:r>
      <w:r>
        <w:t xml:space="preserve">as described in Csizmar et al..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bioRxiv</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IanZRiFA"/>
    <w:p>
      <w:pPr>
        <w:pStyle w:val="Bibliography"/>
      </w:pPr>
      <w:r>
        <w:t xml:space="preserve">16.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(2017).</w:t>
      </w:r>
    </w:p>
    <w:bookmarkEnd w:id="76"/>
    <w:bookmarkStart w:id="77" w:name="ref-u2Cb0DBq"/>
    <w:p>
      <w:pPr>
        <w:pStyle w:val="Bibliography"/>
      </w:pPr>
      <w:r>
        <w:t xml:space="preserve">17.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7"/>
    <w:bookmarkStart w:id="78" w:name="ref-luDqQ0zL"/>
    <w:p>
      <w:pPr>
        <w:pStyle w:val="Bibliography"/>
      </w:pPr>
      <w:r>
        <w:t xml:space="preserve">18.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78"/>
    <w:bookmarkStart w:id="79" w:name="ref-eR2h4yr3"/>
    <w:p>
      <w:pPr>
        <w:pStyle w:val="Bibliography"/>
      </w:pPr>
      <w:r>
        <w:t xml:space="preserve">19.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79"/>
    <w:bookmarkStart w:id="80" w:name="ref-8lU1hNlA"/>
    <w:p>
      <w:pPr>
        <w:pStyle w:val="Bibliography"/>
      </w:pPr>
      <w:r>
        <w:t xml:space="preserve">20.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0"/>
    <w:bookmarkStart w:id="81" w:name="ref-11gk5tUo7"/>
    <w:p>
      <w:pPr>
        <w:pStyle w:val="Bibliography"/>
      </w:pPr>
      <w:r>
        <w:t xml:space="preserve">21.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w:t>
      </w:r>
      <w:r>
        <w:t xml:space="preserve"> </w:t>
      </w:r>
      <w:r>
        <w:rPr>
          <w:b/>
        </w:rPr>
        <w:t xml:space="preserve">7</w:t>
      </w:r>
      <w:r>
        <w:t xml:space="preserve">, 41–48.e5 (2018).</w:t>
      </w:r>
    </w:p>
    <w:bookmarkEnd w:id="81"/>
    <w:bookmarkStart w:id="82" w:name="ref-iG3t9Py2"/>
    <w:p>
      <w:pPr>
        <w:pStyle w:val="Bibliography"/>
      </w:pPr>
      <w:r>
        <w:t xml:space="preserve">22.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2"/>
    <w:bookmarkStart w:id="83" w:name="ref-18yoQOgm4"/>
    <w:p>
      <w:pPr>
        <w:pStyle w:val="Bibliography"/>
      </w:pPr>
      <w:r>
        <w:t xml:space="preserve">23.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3"/>
    <w:bookmarkStart w:id="84" w:name="ref-y7JtEfom"/>
    <w:p>
      <w:pPr>
        <w:pStyle w:val="Bibliography"/>
      </w:pPr>
      <w:r>
        <w:t xml:space="preserve">24. Qi, J., Chen, S.-S., Chiorazzi, N. &amp; Rader, C. An IgG1-like bispecific antibody targeting CD52 and CD20 for the treatment of B-cell malignancies.</w:t>
      </w:r>
      <w:r>
        <w:t xml:space="preserve"> </w:t>
      </w:r>
      <w:r>
        <w:rPr>
          <w:i/>
        </w:rPr>
        <w:t xml:space="preserve">Methods</w:t>
      </w:r>
      <w:r>
        <w:t xml:space="preserve"> </w:t>
      </w:r>
      <w:r>
        <w:rPr>
          <w:b/>
        </w:rPr>
        <w:t xml:space="preserve">154</w:t>
      </w:r>
      <w:r>
        <w:t xml:space="preserve">, 70–76 (2018).</w:t>
      </w:r>
    </w:p>
    <w:bookmarkEnd w:id="84"/>
    <w:bookmarkStart w:id="85" w:name="ref-FqWAsZ7z"/>
    <w:p>
      <w:pPr>
        <w:pStyle w:val="Bibliography"/>
      </w:pPr>
      <w:r>
        <w:t xml:space="preserve">25.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5"/>
    <w:bookmarkStart w:id="86" w:name="ref-L2k7ECfb"/>
    <w:p>
      <w:pPr>
        <w:pStyle w:val="Bibliography"/>
      </w:pPr>
      <w:r>
        <w:t xml:space="preserve">26.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 Autoimmun.</w:t>
      </w:r>
      <w:r>
        <w:t xml:space="preserve"> </w:t>
      </w:r>
      <w:r>
        <w:rPr>
          <w:b/>
        </w:rPr>
        <w:t xml:space="preserve">95</w:t>
      </w:r>
      <w:r>
        <w:t xml:space="preserve">, 1–14 (2018).</w:t>
      </w:r>
    </w:p>
    <w:bookmarkEnd w:id="86"/>
    <w:bookmarkStart w:id="87" w:name="ref-3WVNxYBN"/>
    <w:p>
      <w:pPr>
        <w:pStyle w:val="Bibliography"/>
      </w:pPr>
      <w:r>
        <w:t xml:space="preserve">27.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7"/>
    <w:bookmarkStart w:id="88" w:name="ref-PIRfSNMl"/>
    <w:p>
      <w:pPr>
        <w:pStyle w:val="Bibliography"/>
      </w:pPr>
      <w:r>
        <w:t xml:space="preserve">28.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88"/>
    <w:bookmarkStart w:id="89" w:name="ref-uMIi8rGN"/>
    <w:p>
      <w:pPr>
        <w:pStyle w:val="Bibliography"/>
      </w:pPr>
      <w:r>
        <w:t xml:space="preserve">29. Bubeník, J. Tumour MHC class I downregulation and immunotherapy (Review).</w:t>
      </w:r>
      <w:r>
        <w:t xml:space="preserve"> </w:t>
      </w:r>
      <w:r>
        <w:rPr>
          <w:i/>
        </w:rPr>
        <w:t xml:space="preserve">Oncol. Rep.</w:t>
      </w:r>
      <w:r>
        <w:t xml:space="preserve"> </w:t>
      </w:r>
      <w:r>
        <w:rPr>
          <w:b/>
        </w:rPr>
        <w:t xml:space="preserve">10</w:t>
      </w:r>
      <w:r>
        <w:t xml:space="preserve">, 2005–8</w:t>
      </w:r>
    </w:p>
    <w:bookmarkEnd w:id="89"/>
    <w:bookmarkStart w:id="90" w:name="ref-bi6A2xzH"/>
    <w:p>
      <w:pPr>
        <w:pStyle w:val="Bibliography"/>
      </w:pPr>
      <w:r>
        <w:t xml:space="preserve">30.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0"/>
    <w:bookmarkStart w:id="91" w:name="ref-Fp4dDXV1"/>
    <w:p>
      <w:pPr>
        <w:pStyle w:val="Bibliography"/>
      </w:pPr>
      <w:r>
        <w:t xml:space="preserve">31.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1"/>
    <w:bookmarkStart w:id="93" w:name="ref-1GJeMVzz5"/>
    <w:p>
      <w:pPr>
        <w:pStyle w:val="Bibliography"/>
      </w:pPr>
      <w:r>
        <w:t xml:space="preserve">32. scipy.optimize.minimize — SciPy v1.5.2 Reference Guide. Available at:</w:t>
      </w:r>
      <w:r>
        <w:t xml:space="preserve"> </w:t>
      </w:r>
      <w:hyperlink r:id="rId92">
        <w:r>
          <w:rPr>
            <w:rStyle w:val="Hyperlink"/>
          </w:rPr>
          <w:t xml:space="preserve">https://docs.scipy.org/doc/scipy/reference/generated/scipy.optimize.minimize.html</w:t>
        </w:r>
      </w:hyperlink>
      <w:r>
        <w:t xml:space="preserve">. (Accessed: 27th September 2020)</w:t>
      </w:r>
    </w:p>
    <w:bookmarkEnd w:id="93"/>
    <w:bookmarkStart w:id="94" w:name="ref-VKATSjfe"/>
    <w:p>
      <w:pPr>
        <w:pStyle w:val="Bibliography"/>
      </w:pPr>
      <w:r>
        <w:t xml:space="preserve">33. Merwe, R. van der. Sigma-Point Kalman Filters for Probabilistic Inference in Dynamic State-Space Models. (2004).</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2" Target="https://docs.scipy.org/doc/scipy/reference/generated/scipy.optimize.minimize.html"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92" Target="https://docs.scipy.org/doc/scipy/reference/generated/scipy.optimize.minimize.html"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Exploiting multivalency and other strategies to engineer cell-selective therapies</dc:title>
  <dc:creator/>
  <dc:language>en-US</dc:language>
  <cp:keywords>bioengineering, protein therapies, systems biology</cp:keywords>
  <dcterms:created xsi:type="dcterms:W3CDTF">2020-09-27T19:46:50Z</dcterms:created>
  <dcterms:modified xsi:type="dcterms:W3CDTF">2020-09-27T19:46:50Z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2020-09-27</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