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October 10,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However, even with a drug of very specific molecular binding, genetic and non-genetic heterogeneity can create a wide distribution of cell responses. This can result in reduced effectiveness and toxicity.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of cells within a heterogeneous population. Indeed,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Even in the absence of heterogeneity, target cells can differ from off-target populations only by subtle changes in surface receptor expression. These challenges limit the selectivity of therapies within the body.</w:t>
      </w:r>
    </w:p>
    <w:p>
      <w:pPr>
        <w:pStyle w:val="BodyText"/>
      </w:pPr>
      <w:r>
        <w:t xml:space="preserve">Further improving cell-specific targeting will require new strategies of engineering specificity.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protein and other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and non-overlapping improvements in cell-specific targeting. With each strategy, we highlight evidence of its effect in existing therapeutic agents.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their expression of a unique receptor not expressed by other populations, but more commonly target and off-target cells express the same collection of receptors and differ only in their magnitudes of receptor expression. In such situations, engineering drugs optimized to achieve more ligand bound to the target cells while minimizing the binding to off-target cells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In this work, we define cell population selectivity as the ratio of the number of ligands bound to target cell populations over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The binding between monomer ligands and receptors at equilibrium can be depicted by their association constant</w:t>
      </w:r>
      <w:r>
        <w:t xml:space="preserve"> </w:t>
      </w:r>
      <m:oMath>
        <m:sSub>
          <m:e>
            <m:r>
              <m:t>K</m:t>
            </m:r>
          </m:e>
          <m:sub>
            <m:r>
              <m:t>a</m:t>
            </m:r>
          </m:sub>
        </m:sSub>
      </m:oMath>
      <w:r>
        <w:t xml:space="preserve">, or its reciprocal, the dissociation constant</w:t>
      </w:r>
      <w:r>
        <w:t xml:space="preserve"> </w:t>
      </w:r>
      <m:oMath>
        <m:sSub>
          <m:e>
            <m:r>
              <m:t>K</m:t>
            </m:r>
          </m:e>
          <m:sub>
            <m:r>
              <m:t>d</m:t>
            </m:r>
          </m:sub>
        </m:sSub>
      </m:oMath>
      <w:r>
        <w:t xml:space="preserve">. Binding behavior is more complicated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Another consideration that must be made when modeling multivalent binding processes is whether ligand complexes are formed via random assortment of monomers, or whether the monomer composition is uniform across complexes by engineering.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its dissociation constants to the two receptors to be</w:t>
      </w:r>
      <w:r>
        <w:t xml:space="preserve"> </w:t>
      </w:r>
      <m:oMath>
        <m:r>
          <m:t>10</m:t>
        </m:r>
        <m:r>
          <m:rPr>
            <m:sty m:val="p"/>
          </m:rPr>
          <m:t>μ</m:t>
        </m:r>
        <m:r>
          <m:rPr>
            <m:sty m:val="p"/>
          </m:rPr>
          <m:t>M</m:t>
        </m:r>
      </m:oMath>
      <w:r>
        <w:t xml:space="preserve"> </w:t>
      </w:r>
      <w:r>
        <w:t xml:space="preserve">and</w:t>
      </w:r>
      <w:r>
        <w:t xml:space="preserve"> </w:t>
      </w:r>
      <m:oMath>
        <m:r>
          <m:t>100</m:t>
        </m:r>
      </m:oMath>
      <w:r>
        <w:t xml:space="preserve"> </w:t>
      </w:r>
      <m:oMath>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ligands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ligands. Here, the ligand’s high affinity for</w:t>
      </w:r>
      <w:r>
        <w:t xml:space="preserve"> </w:t>
      </w:r>
      <m:oMath>
        <m:sSub>
          <m:e>
            <m:r>
              <m:t>R</m:t>
            </m:r>
          </m:e>
          <m:sub>
            <m:r>
              <m:t>2</m:t>
            </m:r>
          </m:sub>
        </m:sSub>
      </m:oMath>
      <w:r>
        <w:t xml:space="preserve"> </w:t>
      </w:r>
      <w:r>
        <w:t xml:space="preserve">and relatively low affinity for</w:t>
      </w:r>
      <w:r>
        <w:t xml:space="preserve"> </w:t>
      </w:r>
      <m:oMath>
        <m:sSub>
          <m:e>
            <m:r>
              <m:t>R</m:t>
            </m:r>
          </m:e>
          <m:sub>
            <m:r>
              <m:t>1</m:t>
            </m:r>
          </m:sub>
        </m:sSub>
      </m:oMath>
      <w:r>
        <w:t xml:space="preserve"> </w:t>
      </w:r>
      <w:r>
        <w:t xml:space="preserve">lead to a greater binding sensitivity on the expression of</w:t>
      </w:r>
      <w:r>
        <w:t xml:space="preserve"> </w:t>
      </w:r>
      <m:oMath>
        <m:sSub>
          <m:e>
            <m:r>
              <m:t>R</m:t>
            </m:r>
          </m:e>
          <m:sub>
            <m:r>
              <m:t>2</m:t>
            </m:r>
          </m:sub>
        </m:sSub>
      </m:oMath>
      <w:r>
        <w:t xml:space="preserve"> </w:t>
      </w:r>
      <w:r>
        <w:t xml:space="preserve">than</w:t>
      </w:r>
      <w:r>
        <w:t xml:space="preserve"> </w:t>
      </w:r>
      <m:oMath>
        <m:sSub>
          <m:e>
            <m:r>
              <m:t>R</m:t>
            </m:r>
          </m:e>
          <m:sub>
            <m:r>
              <m:t>1</m:t>
            </m:r>
          </m:sub>
        </m:sSub>
      </m:oMath>
      <w:r>
        <w:t xml:space="preserve">. This situation might correspond to some cue inducing expression of a receptor, such as interferon-induced upregulation of MHC and regulatory T cell upregulation of IL-2R⍺.</w:t>
      </w:r>
      <w:hyperlink w:anchor="ref-11Hb1fNV6">
        <w:r>
          <w:rPr>
            <w:rStyle w:val="Hyperlink"/>
            <w:vertAlign w:val="superscript"/>
          </w:rPr>
          <w:t xml:space="preserve">15</w:t>
        </w:r>
      </w:hyperlink>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using affinity, valency, and hetero-valent complexes improve cell-specific targeting. Although we will only consider two receptor and ligand subunit types respectively, the principles we present can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affinities of a ligand to the receptors as an engineering strategy to enhance its cell population specificity. Here, we showed the binding pattern of monovalent ligands with various affinities ranging from</w:t>
      </w:r>
      <w:r>
        <w:t xml:space="preserve"> </w:t>
      </w:r>
      <m:oMath>
        <m:r>
          <m:t>10</m:t>
        </m:r>
        <m:r>
          <m:rPr>
            <m:sty m:val="p"/>
          </m:rPr>
          <m:t>μ</m:t>
        </m:r>
        <m:r>
          <m:rPr>
            <m:sty m:val="p"/>
          </m:rPr>
          <m:t>M</m:t>
        </m:r>
      </m:oMath>
      <w:r>
        <w:t xml:space="preserve"> </w:t>
      </w:r>
      <w:r>
        <w:t xml:space="preserve">to</w:t>
      </w:r>
      <w:r>
        <w:t xml:space="preserve"> </w:t>
      </w:r>
      <m:oMath>
        <m:r>
          <m:t>100</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When a target cell population expresses a receptor not expressed by off-target cell populations, enhancing the affinity of the drug to this receptor is a clear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which corresponds to shifting from subplots on the left to the ones on the right,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only differ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to the relative discrepancy in receptor amounts (Fig.</w:t>
      </w:r>
      <w:r>
        <w:t xml:space="preserve"> </w:t>
      </w:r>
      <w:hyperlink w:anchor="fig:affinity">
        <w:r>
          <w:rPr>
            <w:rStyle w:val="Hyperlink"/>
          </w:rPr>
          <w:t xml:space="preserve">2</w:t>
        </w:r>
      </w:hyperlink>
      <w:r>
        <w:t xml:space="preserve">c,d). Since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doesn’t change selective binding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when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and variation are important factors to consider when modulating ligand affinity.</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Previous work has shown that our binding model can accurately predict the complicated multivalent binding process between IgG antibodies and Fcγ receptors.</w:t>
      </w:r>
      <w:hyperlink w:anchor="ref-11gk5tUo7">
        <w:r>
          <w:rPr>
            <w:rStyle w:val="Hyperlink"/>
            <w:vertAlign w:val="superscript"/>
          </w:rPr>
          <w:t xml:space="preserve">16</w:t>
        </w:r>
      </w:hyperlink>
      <w:r>
        <w:t xml:space="preserve"> </w:t>
      </w:r>
      <w:r>
        <w:t xml:space="preserve">To further demonstrate our model’s capacity to predict multivalent binding activity, we fit our model to previous experimental measurements wherein fluorescently labeled nanorings were assembled with specific numbers of binding units.</w:t>
      </w:r>
      <w:hyperlink w:anchor="ref-u2Cb0DBq">
        <w:r>
          <w:rPr>
            <w:rStyle w:val="Hyperlink"/>
            <w:vertAlign w:val="superscript"/>
          </w:rPr>
          <w:t xml:space="preserve">17</w:t>
        </w:r>
      </w:hyperlink>
      <w:r>
        <w:t xml:space="preserve"> </w:t>
      </w:r>
      <w:r>
        <w:t xml:space="preserve">After fitting to determine the crosslinking coefficient and receptor affinity values, our model was able to accurately match the binding of nanorings with four or eight binding units to MCF-7 cells expressing a known abundance of receptor partners (Fig.</w:t>
      </w:r>
      <w:r>
        <w:t xml:space="preserve"> </w:t>
      </w:r>
      <w:hyperlink w:anchor="fig:Csizmar">
        <w:r>
          <w:rPr>
            <w:rStyle w:val="Hyperlink"/>
          </w:rPr>
          <w:t xml:space="preserve">8</w:t>
        </w:r>
      </w:hyperlink>
      <w:r>
        <w:t xml:space="preserve">a).</w:t>
      </w:r>
    </w:p>
    <w:p>
      <w:pPr>
        <w:pStyle w:val="BodyText"/>
      </w:pPr>
      <w:r>
        <w:t xml:space="preserve">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18</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 Here, the ligand only binds to receptor</w:t>
      </w:r>
      <w:r>
        <w:t xml:space="preserve"> </w:t>
      </w:r>
      <m:oMath>
        <m:sSub>
          <m:e>
            <m:r>
              <m:t>R</m:t>
            </m:r>
          </m:e>
          <m:sub>
            <m:r>
              <m:t>1</m:t>
            </m:r>
          </m:sub>
        </m:sSub>
      </m:oMath>
      <w:r>
        <w:t xml:space="preserve"> </w:t>
      </w:r>
      <w:r>
        <w:t xml:space="preserve">and the valency of the ligand is varied across subplots. It is shown that varying ligand valency results in a nonlinear relationship between receptor abundance and binding magnitude. For example, in the monovalent case, there are roughly the same amount of contour lines between</w:t>
      </w:r>
      <w:r>
        <w:t xml:space="preserve"> </w:t>
      </w:r>
      <m:oMath>
        <m:sSubSup>
          <m:e>
            <m:r>
              <m:t>R</m:t>
            </m:r>
          </m:e>
          <m:sub>
            <m:r>
              <m:t>1</m:t>
            </m:r>
          </m:sub>
          <m:sup>
            <m:r>
              <m:t>l</m:t>
            </m:r>
            <m:r>
              <m:t>o</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(Fig.</w:t>
      </w:r>
      <w:r>
        <w:t xml:space="preserve"> </w:t>
      </w:r>
      <w:hyperlink w:anchor="fig:valency">
        <w:r>
          <w:rPr>
            <w:rStyle w:val="Hyperlink"/>
          </w:rPr>
          <w:t xml:space="preserve">3</w:t>
        </w:r>
      </w:hyperlink>
      <w:r>
        <w:t xml:space="preserve">a).</w:t>
      </w:r>
    </w:p>
    <w:p>
      <w:pPr>
        <w:pStyle w:val="BodyText"/>
      </w:pPr>
      <w:r>
        <w:t xml:space="preserve">Selectivity derived by changing valency requires coordinate changes in affinity. As is shown by our model, and as many previous studies have suggested, lower affinity, multi-valent interactions can result in particular selectivity for target populations expressing high abundances of receptors.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17</w:t>
        </w:r>
      </w:hyperlink>
      <w:r>
        <w:t xml:space="preserve"> </w:t>
      </w:r>
      <w:r>
        <w:t xml:space="preserve">Comparing binding between cell populations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Our model allowed us to identify the mechanism of valency-mediated receptor abundance selectivity by looking at the number of complex bound in each degree. A cell expressing</w:t>
      </w:r>
      <w:r>
        <w:t xml:space="preserve"> </w:t>
      </w:r>
      <m:oMath>
        <m:sSup>
          <m:e>
            <m:r>
              <m:t>10</m:t>
            </m:r>
          </m:e>
          <m:sup>
            <m:r>
              <m:t>4</m:t>
            </m:r>
          </m:sup>
        </m:sSup>
      </m:oMath>
      <w:r>
        <w:t xml:space="preserve"> </w:t>
      </w:r>
      <w:r>
        <w:t xml:space="preserve">receptors displays similar amounts of binding at each valency for ligands with dissociation constants of</w:t>
      </w:r>
      <w:r>
        <w:t xml:space="preserve"> </w:t>
      </w:r>
      <m:oMath>
        <m:r>
          <m:t>1000</m:t>
        </m:r>
      </m:oMath>
      <w:r>
        <w:t xml:space="preserve">,</w:t>
      </w:r>
      <w:r>
        <w:t xml:space="preserve"> </w:t>
      </w:r>
      <m:oMath>
        <m:r>
          <m:t>100</m:t>
        </m:r>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multivalent binding for ligand complexes of low binding affinity (Fig.</w:t>
      </w:r>
      <w:r>
        <w:t xml:space="preserve"> </w:t>
      </w:r>
      <w:hyperlink w:anchor="fig:valency">
        <w:r>
          <w:rPr>
            <w:rStyle w:val="Hyperlink"/>
          </w:rPr>
          <w:t xml:space="preserve">3</w:t>
        </w:r>
      </w:hyperlink>
      <w:r>
        <w:t xml:space="preserve">f). This effect arises due to a higher dissociation rate than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bound by having them binding multivalently,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19</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20</w:t>
        </w:r>
      </w:hyperlink>
      <w:r>
        <w:t xml:space="preserve"> </w:t>
      </w:r>
      <w:r>
        <w:t xml:space="preserve">Therefore, it is important to understand how mixtures of complexes influence the overall response.</w:t>
      </w:r>
    </w:p>
    <w:p>
      <w:pPr>
        <w:pStyle w:val="BodyText"/>
      </w:pPr>
      <w:r>
        <w:t xml:space="preserve">To evaluate the contribution of mixtures, we evaluated model-predicted binding while varying the composition between two ligands with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monotonically with the composition, so any mixture combination is no better than using the more specific ligand entirely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We also demonstrate the utility of mixture engineering in cell population combinations where many off-target populations are considered (Fig.</w:t>
      </w:r>
      <w:r>
        <w:t xml:space="preserve"> </w:t>
      </w:r>
      <w:hyperlink w:anchor="fig:mixture">
        <w:r>
          <w:rPr>
            <w:rStyle w:val="Hyperlink"/>
          </w:rPr>
          <w:t xml:space="preserve">4</w:t>
        </w:r>
      </w:hyperlink>
      <w:r>
        <w:t xml:space="preserve">d).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16</w:t>
        </w:r>
      </w:hyperlink>
      <w:r>
        <w:rPr>
          <w:vertAlign w:val="superscript"/>
        </w:rPr>
        <w:t xml:space="preserve">,</w:t>
      </w:r>
      <w:hyperlink w:anchor="ref-8lU1hNlA">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However, the number of possible configurations of multispecific drugs is combinatorially large and impossible to enumerate. Here, we use the heterovalent bispecific ligand as an example to explore the unique benefit of multispecificity distinct from any strategy analyzed before. Here, we compare bispecificity with a 50%-50% mixture of two monovalent ligands, and a 50%-50% mixture of two different homogeneous bivalent ligands.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 of heterovalency.</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For example, in the design of bispecific antibodies, it is common to require both subunits bound to be effective. 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r>
        <w:t xml:space="preserve"> </w:t>
      </w:r>
      <w:r>
        <w:t xml:space="preserve">We investigated if bispecific ligands that have to be activated with both of their subunits binding to a target display any special cell population selectivity characteristics.</w:t>
      </w:r>
    </w:p>
    <w:p>
      <w:pPr>
        <w:pStyle w:val="BodyText"/>
      </w:pPr>
      <w:r>
        <w:t xml:space="preserve">To scrutinize the case for bispecific ligands where the target binding of both subunits is required, we extended our model to calculate the amount of ligand fully bound. For the heterovalent bispecific case, ligand fully bound will only account the amount of ligand with both of their ligand monomers bind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 </w:t>
      </w:r>
      <w:r>
        <w:t xml:space="preserve">e). The contour plot of fully bound bispecific ligands has more concaved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 </w:t>
      </w:r>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 </w:t>
      </w:r>
      <w:r>
        <w:t xml:space="preserve">e). This concavity of contour lines indicates that for bispecific complexes, double-positive cells bind more ligands fully than singly-positively expressed cells.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depends on the propensity of crosslinking, captured by</w:t>
      </w:r>
      <w:r>
        <w:t xml:space="preserve"> </w:t>
      </w:r>
      <m:oMath>
        <m:sSubSup>
          <m:e>
            <m:r>
              <m:t>K</m:t>
            </m:r>
          </m:e>
          <m:sub>
            <m:r>
              <m:t>x</m:t>
            </m:r>
          </m:sub>
          <m:sup>
            <m:r>
              <m:t>*</m:t>
            </m:r>
          </m:sup>
        </m:sSubSup>
      </m:oMath>
      <w:r>
        <w:t xml:space="preserve">. 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r>
        <w:t xml:space="preserve"> </w:t>
      </w:r>
      <w:hyperlink w:anchor="fig:bispecific">
        <w:r>
          <w:rPr>
            <w:rStyle w:val="Hyperlink"/>
          </w:rPr>
          <w:t xml:space="preserve">5</w:t>
        </w:r>
      </w:hyperlink>
      <w:r>
        <w:t xml:space="preserve"> </w:t>
      </w:r>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plotted the ratios of selectivities between some cell population pairs under bispecific versus another drugs given a range of</w:t>
      </w:r>
      <w:r>
        <w:t xml:space="preserve"> </w:t>
      </w:r>
      <m:oMath>
        <m:sSubSup>
          <m:e>
            <m:r>
              <m:t>K</m:t>
            </m:r>
          </m:e>
          <m:sub>
            <m:r>
              <m:t>x</m:t>
            </m:r>
          </m:sub>
          <m:sup>
            <m:r>
              <m:t>*</m:t>
            </m:r>
          </m:sup>
        </m:sSubSup>
      </m:oMath>
      <w:r>
        <w:t xml:space="preserve"> </w:t>
      </w:r>
      <w:r>
        <w:t xml:space="preserve">(Figure</w:t>
      </w:r>
      <w:r>
        <w:t xml:space="preserve"> </w:t>
      </w:r>
      <w:hyperlink w:anchor="fig:bispecific">
        <w:r>
          <w:rPr>
            <w:rStyle w:val="Hyperlink"/>
          </w:rPr>
          <w:t xml:space="preserve">5</w:t>
        </w:r>
      </w:hyperlink>
      <w:r>
        <w:t xml:space="preserve"> </w:t>
      </w:r>
      <w:r>
        <w:t xml:space="preserve">g,h). These plotted numbers are ratios of ligand (fully) bound ratios between two cell populations, so when they are larger, it implies that fully bound bispecific ligand has more advantages than its counterpart to impart selective binding between these two cell populations. Figure</w:t>
      </w:r>
      <w:r>
        <w:t xml:space="preserve"> </w:t>
      </w:r>
      <w:hyperlink w:anchor="fig:bispecific">
        <w:r>
          <w:rPr>
            <w:rStyle w:val="Hyperlink"/>
          </w:rPr>
          <w:t xml:space="preserve">5</w:t>
        </w:r>
      </w:hyperlink>
      <w:r>
        <w:t xml:space="preserve"> </w:t>
      </w:r>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 </w:t>
      </w:r>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both therapeutics in comparison only account for fully bound ligands, the effect demonstrated in Figure</w:t>
      </w:r>
      <w:r>
        <w:t xml:space="preserve"> </w:t>
      </w:r>
      <w:hyperlink w:anchor="fig:bispecific">
        <w:r>
          <w:rPr>
            <w:rStyle w:val="Hyperlink"/>
          </w:rPr>
          <w:t xml:space="preserve">5</w:t>
        </w:r>
      </w:hyperlink>
      <w:r>
        <w:t xml:space="preserve"> </w:t>
      </w:r>
      <w:r>
        <w:t xml:space="preserve">g no longer holds. Together, we showed that bispecific ligands only exhibit unique advantages in inducing selective binding when they can only be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described above provided selectivity benefits in distinct situations, suggesting that they might synergistically improve selectivity when combined. We explored this potential synergy using mathematical optimization to determine the ligand specifications which provided optimal selectivity for our theoretical cell populations. More specifically, we considered the selectivity for a particular population, while considering all other populations as off-target. Our optimization allowed for ligand characteristics to vary within biologically plausible bounds; which characteristics we allowed to vary defined our examination of the efficacy of our various ligand engineering strategies (Fig.</w:t>
      </w:r>
      <w:r>
        <w:t xml:space="preserve"> </w:t>
      </w:r>
      <w:hyperlink w:anchor="fig:combination">
        <w:r>
          <w:rPr>
            <w:rStyle w:val="Hyperlink"/>
          </w:rPr>
          <w:t xml:space="preserve">6</w:t>
        </w:r>
      </w:hyperlink>
      <w:r>
        <w:t xml:space="preserve">). To simulate the effects of affinity engineering, we allowed ligand-receptor affinities to vary. To understand the effects of valency and mixture engineering on selectivity, we allowed ligand valency and mixtures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combined affinity and valency individually impart greater specificity, and optimal selectivity is achieved by combining these two strategies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valency, and mixture engineering are able to impart some small contributions to enhanced selectivity, significant improvement is only achieved when combining them all. Here, synergistic combination of strategies can be employed to great effect, granting far superior ligand selectivity.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 any modulation of affinity, valency or combining it with mixture-based strategies seems ineffective.</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24</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could invert this relationship.</w:t>
      </w:r>
    </w:p>
    <w:p>
      <w:pPr>
        <w:pStyle w:val="BodyText"/>
      </w:pPr>
      <w:r>
        <w:t xml:space="preserve">To investigate the effect of ligand competition with an antagonist, we modeled mixtures of ligands, but only quantified the amount of binding for the active ligand. As binding is dependent upon the properties of both ligands,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and these in combination.</w:t>
      </w:r>
    </w:p>
    <w:p>
      <w:pPr>
        <w:pStyle w:val="BodyText"/>
      </w:pPr>
      <w:r>
        <w:t xml:space="preserve">Each strategy’s contribution could be summarized by general patterns. We found that affinity changes were most effective when the target and off-target populations expressed distinct combinations of receptors (Fig.</w:t>
      </w:r>
      <w:r>
        <w:t xml:space="preserve"> </w:t>
      </w:r>
      <w:hyperlink w:anchor="fig:affinity">
        <w:r>
          <w:rPr>
            <w:rStyle w:val="Hyperlink"/>
          </w:rPr>
          <w:t xml:space="preserve">2</w:t>
        </w:r>
      </w:hyperlink>
      <w:r>
        <w:t xml:space="preserve">). Increasing the affinity of the receptors that are more abundantly expressed on the target cells, and decreasing those that are not, enhanced the binding selectivity, with greater differences in receptor patterns corresponding to greater benefits. When target and off-target populations had expressed an identical set of receptors, and only differed in receptor abundances, modulations in valency were effective (Fig.</w:t>
      </w:r>
      <w:r>
        <w:t xml:space="preserve"> </w:t>
      </w:r>
      <w:hyperlink w:anchor="fig:valency">
        <w:r>
          <w:rPr>
            <w:rStyle w:val="Hyperlink"/>
          </w:rPr>
          <w:t xml:space="preserve">3</w:t>
        </w:r>
      </w:hyperlink>
      <w:r>
        <w:t xml:space="preserve">). The efficacy of valency changes was greatly dependent on the kinetics of the receptor-ligand interactions and the difference in receptor abundance as the secondary binding and unbinding rates were a key determinant of ligand binding behavior. Mixtures of therapeutic ligands were found to be mostly ineffective in imparting binding selectivity, but had modest benefits with multiple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the magnitude of advancement.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allowed improved selectivity for target populations expressing relatively fewer receptors to off-target populations.</w:t>
      </w:r>
    </w:p>
    <w:p>
      <w:pPr>
        <w:pStyle w:val="BodyText"/>
      </w:pPr>
      <w:r>
        <w:t xml:space="preserve">While the exploration of our multivalent binding model has elucidated strategies for selective targeting of many populations with respect to one or many off-target populations, several inter-population receptor expression relationships remain challenging to impart selectivity to. For example, target populations that unilaterally express fewer receptors of every type than off-target populations present a unique challenge for the design of a selective ligand. While we computationally show the potential for the simultaneous use of multivalent antagonistic ligands, which bind but do not induce a response, and monovalent agonists to exploit reduced receptor expression levels, the translation of such a therapeutic to a clinical application remains questionable. In cases where a target population expresses fewer receptors of any kind than an off-target population, our analysis suggests that other target receptors or therapeutic strategies should be considered. However, in cases where target populations express more of any type of receptor than an off-target population, we show that one or more of our formulated ligand engineering strategies can be employed to improve binding selectivity.</w:t>
      </w:r>
    </w:p>
    <w:p>
      <w:pPr>
        <w:pStyle w:val="BodyText"/>
      </w:pPr>
      <w:r>
        <w:t xml:space="preserve">A number of strategies are already utilized in existing engineered therapies. For example, affinity changes in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targeted cell clearance based upon the levels of expressed antigen.</w:t>
      </w:r>
      <w:hyperlink w:anchor="ref-IanZRiFA">
        <w:r>
          <w:rPr>
            <w:rStyle w:val="Hyperlink"/>
            <w:vertAlign w:val="superscript"/>
          </w:rPr>
          <w:t xml:space="preserve">18</w:t>
        </w:r>
      </w:hyperlink>
      <w:r>
        <w:t xml:space="preserve"> </w:t>
      </w:r>
      <w:r>
        <w:t xml:space="preserve">Manipulation of the affinities of fibronectin domains displayed by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17</w:t>
        </w:r>
      </w:hyperlink>
      <w:r>
        <w:t xml:space="preserve"> </w:t>
      </w:r>
      <w:r>
        <w:t xml:space="preserve">The advantages offered by therapeutics reliant on low-affinity, multivalent interactions to selectively bind cells with high receptor expression densities were also described in a study considering a therapeutic reliant on multivalent interactions between antibodies and therapeutic bound to receptors most prevalently expressed on tumor cells.</w:t>
      </w:r>
      <w:hyperlink w:anchor="ref-B0xrCfE3">
        <w:r>
          <w:rPr>
            <w:rStyle w:val="Hyperlink"/>
            <w:vertAlign w:val="superscript"/>
          </w:rPr>
          <w:t xml:space="preserve">13</w:t>
        </w:r>
      </w:hyperlink>
      <w:r>
        <w:t xml:space="preserve"> </w:t>
      </w:r>
      <w:r>
        <w:t xml:space="preserve">These examples lend support to the accuracy of our model. At the same time, recognizing the previously described ligand engineering approaches as separable strategies provides clearer guidance for future engineering.</w:t>
      </w:r>
    </w:p>
    <w:p>
      <w:pPr>
        <w:pStyle w:val="BodyText"/>
      </w:pPr>
      <w:r>
        <w:t xml:space="preserve">Nonetheless, many optimization strategies described in this study have not been exploited in pharmaceutical practice yet, not because of the lack of consideration but due to the complexity of real biological contexts. First, some strategies are not practical biochemically. For example, the manipulation of ligand affinity requires intricate protein engineering. While the direction of affinity changes can be predicted, dictating the affinity is extremely difficult. Moreover, it is very likely altering the affinity of a ligand to a receptor of interest can change its affinity for other receptors, which may offset the intended benefit in improving selectivity. Potential dynamic changes in the receptor expression profile of a target population also complicate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certain receptors. In this case, not only should the abundance of receptors be considered, but also their variance within a cell population over time. The effects of expression change on the efficacy of a therapeutic are not evident without a mechanism-based analysis. Furthermore, while we explore the efficacy of combining monovalent agonists with multivalent antagonists for targeting cells expressing relatively fewer receptors to off-target populations, the complexity of engineering the affinities of both ligands makes effective implementation of the strategy much more difficult in practice.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those biological complexities and facilitating the implementation of complicated combinations of several strategies.</w:t>
      </w:r>
    </w:p>
    <w:p>
      <w:pPr>
        <w:pStyle w:val="BodyText"/>
      </w:pPr>
      <w:r>
        <w:t xml:space="preserve">In many therapeutic applications where selective engagement of target cell populations is an important performance metric, such as the treatment of cancer, cellular engineering is becoming increasingly popular.</w:t>
      </w:r>
      <w:hyperlink w:anchor="ref-bi6A2xzH">
        <w:r>
          <w:rPr>
            <w:rStyle w:val="Hyperlink"/>
            <w:vertAlign w:val="superscript"/>
          </w:rPr>
          <w:t xml:space="preserve">30</w:t>
        </w:r>
      </w:hyperlink>
      <w:r>
        <w:t xml:space="preserve"> </w:t>
      </w:r>
      <w:r>
        <w:t xml:space="preserve">Human engineered chimeric antigen receptor (CAR) T cells are being introduced in the clinical setting at a rapid rate, and advances in genetic engineering technologies have enhanced the potential of engineered immune cells to recognize and attack malignant tissues.</w:t>
      </w:r>
      <w:hyperlink w:anchor="ref-Fp4dDXV1">
        <w:r>
          <w:rPr>
            <w:rStyle w:val="Hyperlink"/>
            <w:vertAlign w:val="superscript"/>
          </w:rPr>
          <w:t xml:space="preserve">31</w:t>
        </w:r>
      </w:hyperlink>
      <w:r>
        <w:t xml:space="preserve"> </w:t>
      </w:r>
      <w:r>
        <w:t xml:space="preserve">These technologies bypass ligand-receptor binding considerations by manipulating the complexities of the immune system to attack cells expressing particular receptors. However, manipulations of the immune system inevitably lead to myriad unintended effects due to the complex regulatory mechanisms which control immune activation and activity. We have shown here that complex and targeted changes to the binding activity of simple therapeutic ligands can be achieved via relatively simple ligand characteristic manipulation. This study lays the framework for how protein engineering specifications can be defined using computational modeling. It should be noted that the application of this logic is reliant on knowledge of the target and off-target cell population receptor expression levels. Future application of the ligand binding logic described in this study could be guided using high throughputs single-cell profiling techniques, such as RNA-seq or high-parameter flow cytometry. A computational tool that could translate such data-sets into immediately applicable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16</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number of ligand complexes in the solution is usually much greater than that of the receptors, so we assume binding does not deplete the ligand concentration.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32</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ligand 1 for mixture composition, and</w:t>
      </w:r>
      <w:r>
        <w:t xml:space="preserve"> </w:t>
      </w:r>
      <m:oMath>
        <m:r>
          <m:t>1</m:t>
        </m:r>
        <m:r>
          <m:rPr>
            <m:sty m:val="p"/>
          </m:rPr>
          <m:t>μ</m:t>
        </m:r>
        <m:r>
          <m:rPr>
            <m:sty m:val="p"/>
          </m:rPr>
          <m:t>M</m:t>
        </m:r>
      </m:oMath>
      <w:r>
        <w:t xml:space="preserve"> </w:t>
      </w:r>
      <w:r>
        <w:t xml:space="preserve">for the affinity dissociation constants. The boundaries were</w:t>
      </w:r>
      <w:r>
        <w:t xml:space="preserve"> </w:t>
      </w:r>
      <m:oMath>
        <m:sSup>
          <m:e>
            <m:r>
              <m:t>10</m:t>
            </m:r>
          </m:e>
          <m:sup>
            <m:r>
              <m:t>−</m:t>
            </m:r>
            <m:r>
              <m:t>15</m:t>
            </m:r>
          </m:sup>
        </m:sSup>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ligand 1 for mixture composition, and</w:t>
      </w:r>
      <w:r>
        <w:t xml:space="preserve"> </w:t>
      </w:r>
      <m:oMath>
        <m:r>
          <m:t>10</m:t>
        </m:r>
        <m:r>
          <m:rPr>
            <m:sty m:val="p"/>
          </m:rPr>
          <m:t>m</m:t>
        </m:r>
        <m:r>
          <m:rPr>
            <m:sty m:val="p"/>
          </m:rPr>
          <m:t>M</m:t>
        </m:r>
        <m:r>
          <m:t>∼</m:t>
        </m:r>
        <m:r>
          <m:t>0.1</m:t>
        </m:r>
        <m:r>
          <m:rPr>
            <m:sty m:val="p"/>
          </m:rPr>
          <m:t>n</m:t>
        </m:r>
        <m:r>
          <m:rPr>
            <m:sty m:val="p"/>
          </m:rPr>
          <m:t>M</m:t>
        </m:r>
      </m:oMath>
      <w:r>
        <w:t xml:space="preserve"> </w:t>
      </w:r>
      <w:r>
        <w:t xml:space="preserve">for the affinity dissociation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17</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11gk5tUo7"/>
    <w:p>
      <w:pPr>
        <w:pStyle w:val="Bibliography"/>
      </w:pPr>
      <w:r>
        <w:t xml:space="preserve">16.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systems</w:t>
      </w:r>
      <w:r>
        <w:t xml:space="preserve"> </w:t>
      </w:r>
      <w:r>
        <w:rPr>
          <w:b/>
        </w:rPr>
        <w:t xml:space="preserve">7</w:t>
      </w:r>
      <w:r>
        <w:t xml:space="preserve">, 41–48.e5 (2018).</w:t>
      </w:r>
    </w:p>
    <w:bookmarkEnd w:id="76"/>
    <w:bookmarkStart w:id="77" w:name="ref-u2Cb0DBq"/>
    <w:p>
      <w:pPr>
        <w:pStyle w:val="Bibliography"/>
      </w:pPr>
      <w:r>
        <w:t xml:space="preserve">17.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7"/>
    <w:bookmarkStart w:id="78" w:name="ref-IanZRiFA"/>
    <w:p>
      <w:pPr>
        <w:pStyle w:val="Bibliography"/>
      </w:pPr>
      <w:r>
        <w:t xml:space="preserve">18.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8"/>
    <w:bookmarkStart w:id="79" w:name="ref-luDqQ0zL"/>
    <w:p>
      <w:pPr>
        <w:pStyle w:val="Bibliography"/>
      </w:pPr>
      <w:r>
        <w:t xml:space="preserve">19.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9"/>
    <w:bookmarkStart w:id="80" w:name="ref-eR2h4yr3"/>
    <w:p>
      <w:pPr>
        <w:pStyle w:val="Bibliography"/>
      </w:pPr>
      <w:r>
        <w:t xml:space="preserve">20.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0"/>
    <w:bookmarkStart w:id="81" w:name="ref-8lU1hNlA"/>
    <w:p>
      <w:pPr>
        <w:pStyle w:val="Bibliography"/>
      </w:pPr>
      <w:r>
        <w:t xml:space="preserve">21.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 (San Diego, Calif.)</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Journal of autoimmunity</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Oncology reports</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8Miti2Gz"/>
    <w:p>
      <w:pPr>
        <w:pStyle w:val="Bibliography"/>
      </w:pPr>
      <w:r>
        <w:t xml:space="preserve">32.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t xml:space="preserve">(2020). doi:</w:t>
      </w:r>
      <w:hyperlink r:id="rId92">
        <w:r>
          <w:rPr>
            <w:rStyle w:val="Hyperlink"/>
          </w:rPr>
          <w:t xml:space="preserve">10.1038/s41592-019-0686-2</w:t>
        </w:r>
      </w:hyperlink>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2020-10-10T22:08:23Z</dcterms:created>
  <dcterms:modified xsi:type="dcterms:W3CDTF">2020-10-10T22:08:23Z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2020-10-10</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