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April 28, 2021.</w:t>
      </w:r>
      <w:r>
        <w:t xml:space="preserve"> </w:t>
      </w:r>
    </w:p>
    <w:p>
      <w:pPr>
        <w:pStyle w:val="Heading2"/>
      </w:pPr>
      <w:bookmarkStart w:id="20" w:name="authors"/>
      <w:r>
        <w:t xml:space="preserve">Authors</w:t>
      </w:r>
      <w:bookmarkEnd w:id="20"/>
    </w:p>
    <w:p>
      <w:pPr>
        <w:numPr>
          <w:ilvl w:val="0"/>
          <w:numId w:val="1001"/>
        </w:numPr>
      </w:pPr>
      <w:r>
        <w:rPr>
          <w:b/>
        </w:rPr>
        <w:t xml:space="preserve">Zhixin Cyrillus Tan</w:t>
      </w:r>
      <w:r>
        <w:t xml:space="preserve"> </w:t>
      </w:r>
      <w:r>
        <w:t xml:space="preserve">ORCID</w:t>
      </w:r>
      <w:r>
        <w:t xml:space="preserve"> </w:t>
      </w:r>
      <w:hyperlink r:id="rId21">
        <w:r>
          <w:rPr>
            <w:rStyle w:val="Hyperlink"/>
          </w:rPr>
          <w:t xml:space="preserve">0000-0002-5498-5509</w:t>
        </w:r>
      </w:hyperlink>
      <w:r>
        <w:t xml:space="preserve"> </w:t>
      </w:r>
      <w:r>
        <w:t xml:space="preserve">· Github</w:t>
      </w:r>
      <w:r>
        <w:t xml:space="preserve"> </w:t>
      </w:r>
      <w:hyperlink r:id="rId22">
        <w:r>
          <w:rPr>
            <w:rStyle w:val="Hyperlink"/>
          </w:rPr>
          <w:t xml:space="preserve">cyrillustan</w:t>
        </w:r>
      </w:hyperlink>
      <w:r>
        <w:t xml:space="preserve"> </w:t>
      </w:r>
      <w:r>
        <w:t xml:space="preserve"> </w:t>
      </w:r>
      <w:r>
        <w:t xml:space="preserve">Bioinformatics Interdepartmental Program, University of California, Los Angeles; These authors contributed equally.</w:t>
      </w:r>
      <w:r>
        <w:t xml:space="preserve"> </w:t>
      </w:r>
    </w:p>
    <w:p>
      <w:pPr>
        <w:numPr>
          <w:ilvl w:val="0"/>
          <w:numId w:val="1001"/>
        </w:numPr>
      </w:pPr>
      <w:r>
        <w:rPr>
          <w:b/>
        </w:rPr>
        <w:t xml:space="preserve">Brian Orcutt-Jahns</w:t>
      </w:r>
      <w:r>
        <w:t xml:space="preserve"> </w:t>
      </w:r>
      <w:r>
        <w:t xml:space="preserve">ORCID</w:t>
      </w:r>
      <w:r>
        <w:t xml:space="preserve"> </w:t>
      </w:r>
      <w:hyperlink r:id="rId23">
        <w:r>
          <w:rPr>
            <w:rStyle w:val="Hyperlink"/>
          </w:rPr>
          <w:t xml:space="preserve">0000-0002-1436-1224</w:t>
        </w:r>
      </w:hyperlink>
      <w:r>
        <w:t xml:space="preserve"> </w:t>
      </w:r>
      <w:r>
        <w:t xml:space="preserve">· Github</w:t>
      </w:r>
      <w:r>
        <w:t xml:space="preserve"> </w:t>
      </w:r>
      <w:hyperlink r:id="rId24">
        <w:r>
          <w:rPr>
            <w:rStyle w:val="Hyperlink"/>
          </w:rPr>
          <w:t xml:space="preserve">borcuttjahns</w:t>
        </w:r>
      </w:hyperlink>
      <w:r>
        <w:t xml:space="preserve"> </w:t>
      </w:r>
      <w:r>
        <w:t xml:space="preserve"> </w:t>
      </w:r>
      <w:r>
        <w:t xml:space="preserve">Department of Bioengineering, University of California, Los Angeles; These authors contributed equally.</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ignificance-statement"/>
      <w:r>
        <w:t xml:space="preserve">Significance Statement</w:t>
      </w:r>
      <w:bookmarkEnd w:id="29"/>
    </w:p>
    <w:p>
      <w:pPr>
        <w:pStyle w:val="FirstParagraph"/>
      </w:pPr>
      <w:r>
        <w:t xml:space="preserve">Selective binding to specific target cells is a critical property of many therapies. To enhance selectivity in specific situations, a series of new strategies have been proposed in the drug development literature, including affinity, valency, multi-specificity, and other alterations to target cell binding. We have developed a simple and general, multivalent ligand-receptor binding model that can help to direct therapeutic engineering. Using this model, we provide generalized and quantitative analyses of the effectiveness and limitations of each strategy. We also demonstrate that combining strategies can offer enhanced selectivity. This work provides guidance for future therapeutic development.</w:t>
      </w:r>
    </w:p>
    <w:p>
      <w:pPr>
        <w:pStyle w:val="Heading2"/>
      </w:pPr>
      <w:bookmarkStart w:id="30" w:name="introduction"/>
      <w:r>
        <w:t xml:space="preserve">Introduction</w:t>
      </w:r>
      <w:bookmarkEnd w:id="30"/>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target cells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differences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program complex logic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approaches for engineering cell-specific binding using a multi-valent, multi-receptor, multi-ligand binding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multi-valent ligands can offer offer effective cell specific targeting without the need to engineer complex cellular therapies, and that their design can be guided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a necessary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binding to off-target cells is an area of ongoing research, and has inspired a myriad of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hyperlink w:anchor="ref-1FOIPTTFA">
        <w:r>
          <w:rPr>
            <w:rStyle w:val="Hyperlink"/>
            <w:vertAlign w:val="superscript"/>
          </w:rPr>
          <w:t xml:space="preserve">15</w:t>
        </w:r>
      </w:hyperlink>
    </w:p>
    <w:p>
      <w:pPr>
        <w:pStyle w:val="BodyText"/>
      </w:pPr>
      <w:r>
        <w:t xml:space="preserve">As a simplification, we will consider theoretical cell populations that express only two receptors capable of binding ligand uniformally distributed across the cell surface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t> </m:t>
        </m:r>
        <m:r>
          <m:rPr>
            <m:sty m:val="p"/>
          </m:rPr>
          <m:t>n</m:t>
        </m:r>
        <m:r>
          <m:rPr>
            <m:sty m:val="p"/>
          </m:rPr>
          <m:t>M</m:t>
        </m:r>
      </m:oMath>
      <w:r>
        <w:t xml:space="preserve">, and its dissociation constants to the two receptors to be</w:t>
      </w:r>
      <w:r>
        <w:t xml:space="preserve"> </w:t>
      </w:r>
      <m:oMath>
        <m:r>
          <m:t>10</m:t>
        </m:r>
        <m:r>
          <m:t> </m:t>
        </m:r>
        <m:r>
          <m:rPr>
            <m:sty m:val="p"/>
          </m:rPr>
          <m:t>μ</m:t>
        </m:r>
        <m:r>
          <m:rPr>
            <m:sty m:val="p"/>
          </m:rPr>
          <m:t>M</m:t>
        </m:r>
      </m:oMath>
      <w:r>
        <w:t xml:space="preserve"> </w:t>
      </w:r>
      <w:r>
        <w:t xml:space="preserve">and</w:t>
      </w:r>
      <w:r>
        <w:t xml:space="preserve"> </w:t>
      </w:r>
      <m:oMath>
        <m:r>
          <m:t>100</m:t>
        </m:r>
        <m:r>
          <m:t> </m:t>
        </m:r>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11Hb1fNV6">
        <w:r>
          <w:rPr>
            <w:rStyle w:val="Hyperlink"/>
            <w:vertAlign w:val="superscript"/>
          </w:rPr>
          <w:t xml:space="preserve">16</w:t>
        </w:r>
      </w:hyperlink>
      <w:r>
        <w:t xml:space="preserve"> </w:t>
      </w:r>
      <w:r>
        <w:t xml:space="preserve">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using sigma point filters.</w:t>
      </w:r>
      <w:hyperlink w:anchor="ref-VKATSjfe">
        <w:r>
          <w:rPr>
            <w:rStyle w:val="Hyperlink"/>
            <w:vertAlign w:val="superscript"/>
          </w:rPr>
          <w:t xml:space="preserve">17</w:t>
        </w:r>
      </w:hyperlink>
      <w:r>
        <w:t xml:space="preserve"> </w:t>
      </w:r>
      <w:r>
        <w:t xml:space="preserve">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t> </m:t>
        </m:r>
        <m:r>
          <m:rPr>
            <m:sty m:val="p"/>
          </m:rPr>
          <m:t>μ</m:t>
        </m:r>
        <m:r>
          <m:rPr>
            <m:sty m:val="p"/>
          </m:rPr>
          <m:t>M</m:t>
        </m:r>
      </m:oMath>
      <w:r>
        <w:t xml:space="preserve"> </w:t>
      </w:r>
      <w:r>
        <w:t xml:space="preserve">to</w:t>
      </w:r>
      <w:r>
        <w:t xml:space="preserve"> </w:t>
      </w:r>
      <m:oMath>
        <m:r>
          <m:t>100</m:t>
        </m:r>
        <m:r>
          <m:t> </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and effective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abundances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as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multivalent binding between IgG antibodies and Fcγ receptors.</w:t>
      </w:r>
      <w:hyperlink w:anchor="ref-11gk5tUo7">
        <w:r>
          <w:rPr>
            <w:rStyle w:val="Hyperlink"/>
            <w:vertAlign w:val="superscript"/>
          </w:rPr>
          <w:t xml:space="preserve">18</w:t>
        </w:r>
      </w:hyperlink>
      <w:r>
        <w:t xml:space="preserve"> </w:t>
      </w:r>
      <w:r>
        <w:t xml:space="preserve">To further demonstrate our model’s capacity to predict multivalent binding activity, we fit our model to a set of published experimental measurements wherein fluorescently labeled nanorings were assembled with specific numbers of binding units.</w:t>
      </w:r>
      <w:hyperlink w:anchor="ref-u2Cb0DBq">
        <w:r>
          <w:rPr>
            <w:rStyle w:val="Hyperlink"/>
            <w:vertAlign w:val="superscript"/>
          </w:rPr>
          <w:t xml:space="preserve">19</w:t>
        </w:r>
      </w:hyperlink>
      <w:r>
        <w:t xml:space="preserve"> </w:t>
      </w:r>
      <w:r>
        <w:t xml:space="preserve">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 It should be noted that the model was allowed to alter the experimentally measured affinities of the receptor-ligand interactions to fit the experimental data, but was also able to fit the data using experimentally determined affinities with respectable accuracy (</w:t>
      </w:r>
      <m:oMath>
        <m:sSup>
          <m:e>
            <m:r>
              <m:t>R</m:t>
            </m:r>
          </m:e>
          <m:sup>
            <m:r>
              <m:t>2</m:t>
            </m:r>
          </m:sup>
        </m:sSup>
      </m:oMath>
      <w:r>
        <w:t xml:space="preserve"> </w:t>
      </w:r>
      <w:r>
        <w:t xml:space="preserve">of 0.95 when fitting affinities vs. 0.70 when using experimentally determined affinities).</w:t>
      </w:r>
    </w:p>
    <w:p>
      <w:pPr>
        <w:pStyle w:val="BodyText"/>
      </w:pPr>
      <w:r>
        <w:t xml:space="preserve">Multivalent ligand binding differs from monovalent binding in its nonlinear relationship with receptor density, allowing multivalent ligands to potentially selectively target cells based on receptor abundance.</w:t>
      </w:r>
      <w:hyperlink w:anchor="ref-IanZRiFA">
        <w:r>
          <w:rPr>
            <w:rStyle w:val="Hyperlink"/>
            <w:vertAlign w:val="superscript"/>
          </w:rPr>
          <w:t xml:space="preserve">20</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19</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filters.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number of receptors up to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t> </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undergo initial binding events at rates unaffected by steric effects and changes in local concentration, but low affinity and receptor density severely limit the possibility of secondary binding events. In contrast, cells with a higher abundance of receptors accumulate ligand bound by having them bind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21</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22</w:t>
        </w:r>
      </w:hyperlink>
      <w:r>
        <w:t xml:space="preserve"> </w:t>
      </w:r>
      <w:r>
        <w:t xml:space="preserve">Therefore, it is important to understand how mixtures of complexes influence overall response.</w:t>
      </w:r>
    </w:p>
    <w:p>
      <w:pPr>
        <w:pStyle w:val="BodyText"/>
      </w:pPr>
      <w:r>
        <w:t xml:space="preserve">To evaluate the contribution of mixtures, we evaluated model-predicted binding while varying the composition between two distinct monovalent ligands, each exhibiting preferential binding to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18</w:t>
        </w:r>
      </w:hyperlink>
      <w:r>
        <w:rPr>
          <w:vertAlign w:val="superscript"/>
        </w:rPr>
        <w:t xml:space="preserve">,</w:t>
      </w:r>
      <w:hyperlink w:anchor="ref-8lU1hNlA">
        <w:r>
          <w:rPr>
            <w:rStyle w:val="Hyperlink"/>
            <w:vertAlign w:val="superscript"/>
          </w:rPr>
          <w:t xml:space="preserve">23</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00cc7a65eac07f9ac8c67eeeec4153b25a8ab28"/>
      <w:r>
        <w:t xml:space="preserve">Heterovalent Bispecific Ligands Exhibit Unique Characteristics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24</w:t>
        </w:r>
      </w:hyperlink>
      <w:r>
        <w:t xml:space="preserve"> </w:t>
      </w:r>
      <w:r>
        <w:t xml:space="preserve">However, the number of possible configurations of multispecific drugs is combinatorially large and impossible to enumerate. Here, we use heterovalent bispecific ligands as examples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w:t>
      </w:r>
      <w:hyperlink w:anchor="ref-18yoQOgm4">
        <w:r>
          <w:rPr>
            <w:rStyle w:val="Hyperlink"/>
            <w:vertAlign w:val="superscript"/>
          </w:rPr>
          <w:t xml:space="preserve">25</w:t>
        </w:r>
      </w:hyperlink>
      <w:r>
        <w:rPr>
          <w:vertAlign w:val="superscript"/>
        </w:rPr>
        <w:t xml:space="preserve">,</w:t>
      </w:r>
      <w:hyperlink w:anchor="ref-y7JtEfom">
        <w:r>
          <w:rPr>
            <w:rStyle w:val="Hyperlink"/>
            <w:vertAlign w:val="superscript"/>
          </w:rPr>
          <w:t xml:space="preserve">26</w:t>
        </w:r>
      </w:hyperlink>
      <w:r>
        <w:t xml:space="preserve"> </w:t>
      </w:r>
      <w:r>
        <w:t xml:space="preserve">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 We investigated whether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convex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convexity of contour lines indicates that for bispecific complexes, double-positive cells bind more ligands fully than cells only strongly expressing one type of receptors.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is dependent on the ligand’s propensity for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w:t>
      </w:r>
      <w:hyperlink w:anchor="ref-uVvF8Fgs">
        <w:r>
          <w:rPr>
            <w:rStyle w:val="Hyperlink"/>
            <w:vertAlign w:val="superscript"/>
          </w:rPr>
          <w:t xml:space="preserve">27</w:t>
        </w:r>
      </w:hyperlink>
      <w:r>
        <w:t xml:space="preserve"> </w:t>
      </w:r>
      <w:r>
        <w:t xml:space="preserve">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 It should be noted that the parameter space is not convex, and a grid-search strategy was used for strategies where valency and affinity allowed to vary simultaneously in order to locate the global maximum selectivity.</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26</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w:t>
      </w:r>
      <w:r>
        <w:t xml:space="preserve"> </w:t>
      </w:r>
      <w:r>
        <w:t xml:space="preserve">“</w:t>
      </w:r>
      <w:r>
        <w:t xml:space="preserve">Unaltered</w:t>
      </w:r>
      <w:r>
        <w:t xml:space="preserve">”</w:t>
      </w:r>
      <w:r>
        <w:t xml:space="preserve"> </w:t>
      </w:r>
      <w:r>
        <w:t xml:space="preserve">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w:t>
      </w:r>
      <w:r>
        <w:t xml:space="preserve"> </w:t>
      </w:r>
      <w:r>
        <w:t xml:space="preserve">“</w:t>
      </w:r>
      <w:r>
        <w:t xml:space="preserve">Unaltered</w:t>
      </w:r>
      <w:r>
        <w:t xml:space="preserve">”</w:t>
      </w:r>
      <w:r>
        <w:t xml:space="preserve"> </w:t>
      </w:r>
      <w:r>
        <w:t xml:space="preserve">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with affinities optimized for selectivity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and used it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antagonist competition,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two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solely considering fully bound ligand (Fig.</w:t>
      </w:r>
      <w:r>
        <w:t xml:space="preserve"> </w:t>
      </w:r>
      <w:hyperlink w:anchor="fig:bispecific">
        <w:r>
          <w:rPr>
            <w:rStyle w:val="Hyperlink"/>
          </w:rPr>
          <w:t xml:space="preserve">5</w:t>
        </w:r>
      </w:hyperlink>
      <w:r>
        <w:t xml:space="preserve">). These ligands exhibit preferential binding to target populations that have high expression of both receptors over those with high expression of only a single receptor, with the propensity for secondary binding acting as a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the unique selection of target populations expressing relatively fewer receptors than off-target populations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to selectively target such populations, implementing this may be challenging in practice.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have been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28</w:t>
        </w:r>
      </w:hyperlink>
      <w:r>
        <w:rPr>
          <w:vertAlign w:val="superscript"/>
        </w:rPr>
        <w:t xml:space="preserve">,</w:t>
      </w:r>
      <w:hyperlink w:anchor="ref-L2k7ECfb">
        <w:r>
          <w:rPr>
            <w:rStyle w:val="Hyperlink"/>
            <w:vertAlign w:val="superscript"/>
          </w:rPr>
          <w:t xml:space="preserve">29</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20</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19</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and translational value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30</w:t>
        </w:r>
      </w:hyperlink>
      <w:r>
        <w:rPr>
          <w:vertAlign w:val="superscript"/>
        </w:rPr>
        <w:t xml:space="preserve">,</w:t>
      </w:r>
      <w:hyperlink w:anchor="ref-PIRfSNMl">
        <w:r>
          <w:rPr>
            <w:rStyle w:val="Hyperlink"/>
            <w:vertAlign w:val="superscript"/>
          </w:rPr>
          <w:t xml:space="preserve">31</w:t>
        </w:r>
      </w:hyperlink>
      <w:r>
        <w:t xml:space="preserve"> </w:t>
      </w:r>
      <w:r>
        <w:t xml:space="preserve">or downregulating</w:t>
      </w:r>
      <w:hyperlink w:anchor="ref-uMIi8rGN">
        <w:r>
          <w:rPr>
            <w:rStyle w:val="Hyperlink"/>
            <w:vertAlign w:val="superscript"/>
          </w:rPr>
          <w:t xml:space="preserve">32</w:t>
        </w:r>
      </w:hyperlink>
      <w:r>
        <w:t xml:space="preserve"> </w:t>
      </w:r>
      <w:r>
        <w:t xml:space="preserve">the expression of certain receptors. In this case, both the current and potential abundance of each receptor must be considered. While this work does not address many of these issues, we propose that using a computational binding model can analyze these strategies quantitatively and collectively from a mechanistic perspective. Even when the absolute mathematically optimal ligand characteristics cannot be achieved biochemically, our analyses provide guidance within the bounds of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33</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34</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selecting among potential receptor targets,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FOIPTTFA">
        <w:r>
          <w:rPr>
            <w:rStyle w:val="Hyperlink"/>
            <w:vertAlign w:val="superscript"/>
          </w:rPr>
          <w:t xml:space="preserve">15</w:t>
        </w:r>
      </w:hyperlink>
      <w:r>
        <w:rPr>
          <w:vertAlign w:val="superscript"/>
        </w:rPr>
        <w:t xml:space="preserve">,</w:t>
      </w:r>
      <w:hyperlink w:anchor="ref-11gk5tUo7">
        <w:r>
          <w:rPr>
            <w:rStyle w:val="Hyperlink"/>
            <w:vertAlign w:val="superscript"/>
          </w:rPr>
          <w:t xml:space="preserve">18</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We also assume that receptors are uniformally distributed across the cell surface; should different receptors be organized in discrete domains, the model would need to be updated to account for different</w:t>
      </w:r>
      <w:r>
        <w:t xml:space="preserve"> </w:t>
      </w:r>
      <m:oMath>
        <m:sSubSup>
          <m:e>
            <m:r>
              <m:t>K</m:t>
            </m:r>
          </m:e>
          <m:sub>
            <m:r>
              <m:t>x</m:t>
            </m:r>
          </m:sub>
          <m:sup>
            <m:r>
              <m:t>*</m:t>
            </m:r>
          </m:sup>
        </m:sSubSup>
      </m:oMath>
      <w:r>
        <w:t xml:space="preserve"> </w:t>
      </w:r>
      <w:r>
        <w:t xml:space="preserve">values for each receptor population and accompanying domain.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35</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t> </m:t>
        </m:r>
        <m:r>
          <m:rPr>
            <m:sty m:val="p"/>
          </m:rPr>
          <m:t>μ</m:t>
        </m:r>
        <m:r>
          <m:rPr>
            <m:sty m:val="p"/>
          </m:rPr>
          <m:t>M</m:t>
        </m:r>
      </m:oMath>
      <w:r>
        <w:t xml:space="preserve"> </w:t>
      </w:r>
      <w:r>
        <w:t xml:space="preserve">for the affinity dissociation constants. For</w:t>
      </w:r>
      <w:r>
        <w:t xml:space="preserve"> </w:t>
      </w:r>
      <m:oMath>
        <m:sSubSup>
          <m:e>
            <m:r>
              <m:t>K</m:t>
            </m:r>
          </m:e>
          <m:sub>
            <m:r>
              <m:t>x</m:t>
            </m:r>
          </m:sub>
          <m:sup>
            <m:r>
              <m:t>*</m:t>
            </m:r>
          </m:sup>
        </m:sSubSup>
      </m:oMath>
      <w:r>
        <w:t xml:space="preserve">, our previous study on IgG-Fc receptor interaction utilized this binding model and fit it on in vitro immune complex binding measurement. Its value was roughly</w:t>
      </w:r>
      <w:r>
        <w:t xml:space="preserve"> </w:t>
      </w:r>
      <m:oMath>
        <m:sSup>
          <m:e>
            <m:r>
              <m:t>10</m:t>
            </m:r>
          </m:e>
          <m:sup>
            <m:r>
              <m:t>−</m:t>
            </m:r>
            <m:r>
              <m:t>12</m:t>
            </m:r>
          </m:sup>
        </m:sSup>
      </m:oMath>
      <w:r>
        <w:t xml:space="preserve">.</w:t>
      </w:r>
      <w:hyperlink w:anchor="ref-lFjmqXvb">
        <w:r>
          <w:rPr>
            <w:rStyle w:val="Hyperlink"/>
            <w:vertAlign w:val="superscript"/>
          </w:rPr>
          <w:t xml:space="preserve">36</w:t>
        </w:r>
      </w:hyperlink>
      <w:r>
        <w:t xml:space="preserve"> </w:t>
      </w:r>
      <w:r>
        <w:t xml:space="preserve">In this study, we fit our model to the multivalent nanoring measurements (See</w:t>
      </w:r>
      <w:r>
        <w:t xml:space="preserve"> </w:t>
      </w:r>
      <w:r>
        <w:t xml:space="preserve">“</w:t>
      </w:r>
      <w:r>
        <w:t xml:space="preserve">Reimplementation of Csizmar et al. </w:t>
      </w:r>
      <w:hyperlink w:anchor="ref-u2Cb0DBq">
        <w:r>
          <w:rPr>
            <w:rStyle w:val="Hyperlink"/>
            <w:vertAlign w:val="superscript"/>
          </w:rPr>
          <w:t xml:space="preserve">19</w:t>
        </w:r>
      </w:hyperlink>
      <w:r>
        <w:t xml:space="preserve">”</w:t>
      </w:r>
      <w:r>
        <w:t xml:space="preserve">), and the</w:t>
      </w:r>
      <w:r>
        <w:t xml:space="preserve"> </w:t>
      </w:r>
      <m:oMath>
        <m:sSubSup>
          <m:e>
            <m:r>
              <m:t>K</m:t>
            </m:r>
          </m:e>
          <m:sub>
            <m:r>
              <m:t>x</m:t>
            </m:r>
          </m:sub>
          <m:sup>
            <m:r>
              <m:t>*</m:t>
            </m:r>
          </m:sup>
        </m:sSubSup>
      </m:oMath>
      <w:r>
        <w:t xml:space="preserve"> </w:t>
      </w:r>
      <w:r>
        <w:t xml:space="preserve">values were in similar range (</w:t>
      </w:r>
      <m:oMath>
        <m:sSup>
          <m:e>
            <m:r>
              <m:t>10</m:t>
            </m:r>
          </m:e>
          <m:sup>
            <m:r>
              <m:t>−</m:t>
            </m:r>
            <m:r>
              <m:t>12.7</m:t>
            </m:r>
          </m:sup>
        </m:sSup>
      </m:oMath>
      <w:r>
        <w:t xml:space="preserve"> </w:t>
      </w:r>
      <w:r>
        <w:t xml:space="preserve">and</w:t>
      </w:r>
      <w:r>
        <w:t xml:space="preserve"> </w:t>
      </w:r>
      <m:oMath>
        <m:sSup>
          <m:e>
            <m:r>
              <m:t>10</m:t>
            </m:r>
          </m:e>
          <m:sup>
            <m:r>
              <m:t>−</m:t>
            </m:r>
            <m:r>
              <m:t>14.7</m:t>
            </m:r>
          </m:sup>
        </m:sSup>
      </m:oMath>
      <w:r>
        <w:t xml:space="preserve">). Here, we allow</w:t>
      </w:r>
      <w:r>
        <w:t xml:space="preserve"> </w:t>
      </w:r>
      <m:oMath>
        <m:sSubSup>
          <m:e>
            <m:r>
              <m:t>K</m:t>
            </m:r>
          </m:e>
          <m:sub>
            <m:r>
              <m:t>x</m:t>
            </m:r>
          </m:sub>
          <m:sup>
            <m:r>
              <m:t>*</m:t>
            </m:r>
          </m:sup>
        </m:sSubSup>
      </m:oMath>
      <w:r>
        <w:t xml:space="preserve"> </w:t>
      </w:r>
      <w:r>
        <w:t xml:space="preserve">to float 1000 times up and down from</w:t>
      </w:r>
      <w:r>
        <w:t xml:space="preserve"> </w:t>
      </w:r>
      <m:oMath>
        <m:sSup>
          <m:e>
            <m:r>
              <m:t>10</m:t>
            </m:r>
          </m:e>
          <m:sup>
            <m:r>
              <m:t>−</m:t>
            </m:r>
            <m:r>
              <m:t>12</m:t>
            </m:r>
          </m:sup>
        </m:sSup>
      </m:oMath>
      <w:r>
        <w:t xml:space="preserve">, thus</w:t>
      </w:r>
      <w:r>
        <w:t xml:space="preserve"> </w:t>
      </w:r>
      <m:oMath>
        <m:sSup>
          <m:e>
            <m:r>
              <m:t>10</m:t>
            </m:r>
          </m:e>
          <m:sup>
            <m:r>
              <m:t>−</m:t>
            </m:r>
            <m:r>
              <m:t>15</m:t>
            </m:r>
          </m:sup>
        </m:sSup>
      </m:oMath>
      <w:r>
        <w:t xml:space="preserve"> </w:t>
      </w:r>
      <w:r>
        <w:t xml:space="preserve">to</w:t>
      </w:r>
      <w:r>
        <w:t xml:space="preserve"> </w:t>
      </w:r>
      <m:oMath>
        <m:sSup>
          <m:e>
            <m:r>
              <m:t>10</m:t>
            </m:r>
          </m:e>
          <m:sup>
            <m:r>
              <m:t>−</m:t>
            </m:r>
            <m:r>
              <m:t>9</m:t>
            </m:r>
          </m:sup>
        </m:sSup>
      </m:oMath>
      <w:r>
        <w:t xml:space="preserve">. The boundaries were 1–16 for</w:t>
      </w:r>
      <w:r>
        <w:t xml:space="preserve"> </w:t>
      </w:r>
      <m:oMath>
        <m:r>
          <m:t>f</m:t>
        </m:r>
      </m:oMath>
      <w:r>
        <w:t xml:space="preserve">, 0–100% ligand 1 for mixture composition, and</w:t>
      </w:r>
      <w:r>
        <w:t xml:space="preserve"> </w:t>
      </w:r>
      <m:oMath>
        <m:r>
          <m:t>10</m:t>
        </m:r>
        <m:r>
          <m:t> </m:t>
        </m:r>
        <m:r>
          <m:rPr>
            <m:sty m:val="p"/>
          </m:rPr>
          <m:t>m</m:t>
        </m:r>
        <m:r>
          <m:rPr>
            <m:sty m:val="p"/>
          </m:rPr>
          <m:t>M</m:t>
        </m:r>
      </m:oMath>
      <w:r>
        <w:t xml:space="preserve"> </w:t>
      </w:r>
      <w:r>
        <w:t xml:space="preserve">to</w:t>
      </w:r>
      <w:r>
        <w:t xml:space="preserve"> </w:t>
      </w:r>
      <m:oMath>
        <m:r>
          <m:t>0.1</m:t>
        </m:r>
        <m:r>
          <m:t> </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the sigma point filters,</w:t>
      </w:r>
      <w:hyperlink w:anchor="ref-VKATSjfe">
        <w:r>
          <w:rPr>
            <w:rStyle w:val="Hyperlink"/>
            <w:vertAlign w:val="superscript"/>
          </w:rPr>
          <w:t xml:space="preserve">17</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19</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S1:</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19</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S1:</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19</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8"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Cold Spring Harbor Laboratory</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6" w:name="ref-1FOIPTTFA"/>
    <w:p>
      <w:pPr>
        <w:pStyle w:val="Bibliography"/>
      </w:pPr>
      <w:r>
        <w:t xml:space="preserve">15. Tan, Z. C. &amp; Meyer, A. S. A general model of multivalent binding with ligands of heterotypic subunits and multiple surface receptors.</w:t>
      </w:r>
      <w:r>
        <w:t xml:space="preserve"> </w:t>
      </w:r>
      <w:r>
        <w:rPr>
          <w:i/>
        </w:rPr>
        <w:t xml:space="preserve">Cold Spring Harbor Laboratory</w:t>
      </w:r>
      <w:r>
        <w:t xml:space="preserve"> </w:t>
      </w:r>
      <w:r>
        <w:t xml:space="preserve">(2021). doi:</w:t>
      </w:r>
      <w:hyperlink r:id="rId75">
        <w:r>
          <w:rPr>
            <w:rStyle w:val="Hyperlink"/>
          </w:rPr>
          <w:t xml:space="preserve">10.1101/2021.03.10.434776</w:t>
        </w:r>
      </w:hyperlink>
    </w:p>
    <w:bookmarkEnd w:id="76"/>
    <w:bookmarkStart w:id="77" w:name="ref-11Hb1fNV6"/>
    <w:p>
      <w:pPr>
        <w:pStyle w:val="Bibliography"/>
      </w:pPr>
      <w:r>
        <w:t xml:space="preserve">16.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7"/>
    <w:bookmarkStart w:id="78" w:name="ref-VKATSjfe"/>
    <w:p>
      <w:pPr>
        <w:pStyle w:val="Bibliography"/>
      </w:pPr>
      <w:r>
        <w:t xml:space="preserve">17. Merwe, R. van der. Sigma-Point Kalman Filters for Probabilistic Inference in Dynamic State-Space Models. (2004).</w:t>
      </w:r>
    </w:p>
    <w:bookmarkEnd w:id="78"/>
    <w:bookmarkStart w:id="79" w:name="ref-11gk5tUo7"/>
    <w:p>
      <w:pPr>
        <w:pStyle w:val="Bibliography"/>
      </w:pPr>
      <w:r>
        <w:t xml:space="preserve">18.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9"/>
    <w:bookmarkStart w:id="80" w:name="ref-u2Cb0DBq"/>
    <w:p>
      <w:pPr>
        <w:pStyle w:val="Bibliography"/>
      </w:pPr>
      <w:r>
        <w:t xml:space="preserve">19.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80"/>
    <w:bookmarkStart w:id="81" w:name="ref-IanZRiFA"/>
    <w:p>
      <w:pPr>
        <w:pStyle w:val="Bibliography"/>
      </w:pPr>
      <w:r>
        <w:t xml:space="preserve">20.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40098 (2017).</w:t>
      </w:r>
    </w:p>
    <w:bookmarkEnd w:id="81"/>
    <w:bookmarkStart w:id="82" w:name="ref-luDqQ0zL"/>
    <w:p>
      <w:pPr>
        <w:pStyle w:val="Bibliography"/>
      </w:pPr>
      <w:r>
        <w:t xml:space="preserve">21.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82"/>
    <w:bookmarkStart w:id="83" w:name="ref-eR2h4yr3"/>
    <w:p>
      <w:pPr>
        <w:pStyle w:val="Bibliography"/>
      </w:pPr>
      <w:r>
        <w:t xml:space="preserve">22.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3"/>
    <w:bookmarkStart w:id="84" w:name="ref-8lU1hNlA"/>
    <w:p>
      <w:pPr>
        <w:pStyle w:val="Bibliography"/>
      </w:pPr>
      <w:r>
        <w:t xml:space="preserve">23.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4"/>
    <w:bookmarkStart w:id="85" w:name="ref-iG3t9Py2"/>
    <w:p>
      <w:pPr>
        <w:pStyle w:val="Bibliography"/>
      </w:pPr>
      <w:r>
        <w:t xml:space="preserve">24.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5"/>
    <w:bookmarkStart w:id="86" w:name="ref-18yoQOgm4"/>
    <w:p>
      <w:pPr>
        <w:pStyle w:val="Bibliography"/>
      </w:pPr>
      <w:r>
        <w:t xml:space="preserve">25.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6"/>
    <w:bookmarkStart w:id="87" w:name="ref-y7JtEfom"/>
    <w:p>
      <w:pPr>
        <w:pStyle w:val="Bibliography"/>
      </w:pPr>
      <w:r>
        <w:t xml:space="preserve">26.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7"/>
    <w:bookmarkStart w:id="88" w:name="ref-uVvF8Fgs"/>
    <w:p>
      <w:pPr>
        <w:pStyle w:val="Bibliography"/>
      </w:pPr>
      <w:r>
        <w:t xml:space="preserve">27. Hlavacek, W. S., Posner, R. G. &amp; Perelson, A. S. Steric effects on multivalent ligand-receptor binding: exclusion of ligand sites by bound cell surface receptors.</w:t>
      </w:r>
      <w:r>
        <w:t xml:space="preserve"> </w:t>
      </w:r>
      <w:r>
        <w:rPr>
          <w:i/>
        </w:rPr>
        <w:t xml:space="preserve">Biophys J</w:t>
      </w:r>
      <w:r>
        <w:t xml:space="preserve"> </w:t>
      </w:r>
      <w:r>
        <w:rPr>
          <w:b/>
        </w:rPr>
        <w:t xml:space="preserve">76</w:t>
      </w:r>
      <w:r>
        <w:t xml:space="preserve">, 3031–43 (1999).</w:t>
      </w:r>
    </w:p>
    <w:bookmarkEnd w:id="88"/>
    <w:bookmarkStart w:id="89" w:name="ref-FqWAsZ7z"/>
    <w:p>
      <w:pPr>
        <w:pStyle w:val="Bibliography"/>
      </w:pPr>
      <w:r>
        <w:t xml:space="preserve">28.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9"/>
    <w:bookmarkStart w:id="90" w:name="ref-L2k7ECfb"/>
    <w:p>
      <w:pPr>
        <w:pStyle w:val="Bibliography"/>
      </w:pPr>
      <w:r>
        <w:t xml:space="preserve">29.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90"/>
    <w:bookmarkStart w:id="91" w:name="ref-3WVNxYBN"/>
    <w:p>
      <w:pPr>
        <w:pStyle w:val="Bibliography"/>
      </w:pPr>
      <w:r>
        <w:t xml:space="preserve">30.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91"/>
    <w:bookmarkStart w:id="92" w:name="ref-PIRfSNMl"/>
    <w:p>
      <w:pPr>
        <w:pStyle w:val="Bibliography"/>
      </w:pPr>
      <w:r>
        <w:t xml:space="preserve">31. Knowles, L. M.</w:t>
      </w:r>
      <w:r>
        <w:t xml:space="preserve"> </w:t>
      </w:r>
      <w:r>
        <w:rPr>
          <w:i/>
        </w:rPr>
        <w:t xml:space="preserve">et al.</w:t>
      </w:r>
      <w:r>
        <w:t xml:space="preserve"> </w:t>
      </w:r>
      <w:r>
        <w:t xml:space="preserve">Integrin αvβ3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92"/>
    <w:bookmarkStart w:id="93" w:name="ref-uMIi8rGN"/>
    <w:p>
      <w:pPr>
        <w:pStyle w:val="Bibliography"/>
      </w:pPr>
      <w:r>
        <w:t xml:space="preserve">32.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93"/>
    <w:bookmarkStart w:id="94" w:name="ref-bi6A2xzH"/>
    <w:p>
      <w:pPr>
        <w:pStyle w:val="Bibliography"/>
      </w:pPr>
      <w:r>
        <w:t xml:space="preserve">33.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4"/>
    <w:bookmarkStart w:id="95" w:name="ref-Fp4dDXV1"/>
    <w:p>
      <w:pPr>
        <w:pStyle w:val="Bibliography"/>
      </w:pPr>
      <w:r>
        <w:t xml:space="preserve">34.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5"/>
    <w:bookmarkStart w:id="96" w:name="ref-8Miti2Gz"/>
    <w:p>
      <w:pPr>
        <w:pStyle w:val="Bibliography"/>
      </w:pPr>
      <w:r>
        <w:t xml:space="preserve">35.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rPr>
          <w:b/>
        </w:rPr>
        <w:t xml:space="preserve">17</w:t>
      </w:r>
      <w:r>
        <w:t xml:space="preserve">, 261–272 (2020).</w:t>
      </w:r>
    </w:p>
    <w:bookmarkEnd w:id="96"/>
    <w:bookmarkStart w:id="97" w:name="ref-lFjmqXvb"/>
    <w:p>
      <w:pPr>
        <w:pStyle w:val="Bibliography"/>
      </w:pPr>
      <w:r>
        <w:t xml:space="preserve">36.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97"/>
    <w:bookmarkEnd w:id="98"/>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s://doi.org/10.1101/2021.03.10.434776"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75" Target="https://doi.org/10.1101/2021.03.10.434776"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2021-04-29T06:55:16Z</dcterms:created>
  <dcterms:modified xsi:type="dcterms:W3CDTF">2021-04-29T06:55:16Z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2021-04-28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