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11,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The binding between monomer ligands and receptors at equilibrium can be depicted by their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only differ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lower affinity, multi-valent interactions can result in particular selectivity for target populations expressing high abundances of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considered the selectivity for a particular population, while considering all other populations as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could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enhanced the binding selectivity, with greater differences in receptor patterns corresponding to greater benefits. When target and off-target populations had expressed an identical set of receptors, and only differed in receptor abundances, modulations in valency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of ligand binding behavior.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is extremely difficult. Moreover, it is very likely altering the affinity of a ligand to a receptor of interest can change its affinity for other receptors, which may offset the intended benefit in improving selectivity.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2020-10-12T01:28:32Z</dcterms:created>
  <dcterms:modified xsi:type="dcterms:W3CDTF">2020-10-12T01:28:32Z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