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r>
          <m:t>10</m:t>
        </m:r>
        <m:r>
          <m:rPr>
            <m:sty m:val="p"/>
          </m:rPr>
          <m:t>μ</m:t>
        </m:r>
        <m:r>
          <m:rPr>
            <m:sty m:val="p"/>
          </m:rPr>
          <m:t>M</m:t>
        </m:r>
      </m:oMath>
      <w:r>
        <w:t xml:space="preserve"> </w:t>
      </w:r>
      <w:r>
        <w:t xml:space="preserve">and</w:t>
      </w:r>
      <w:r>
        <w:t xml:space="preserve"> </w:t>
      </w:r>
      <m:oMath>
        <m:sSup>
          <m:e>
            <m:r>
              <m:t>10</m:t>
            </m:r>
          </m:e>
          <m:sup>
            <m:r>
              <m:t>2</m:t>
            </m:r>
          </m:sup>
        </m:sSup>
        <m:r>
          <m:rPr>
            <m:sty m:val="p"/>
          </m:rPr>
          <m:t>n</m:t>
        </m:r>
        <m:r>
          <m:rPr>
            <m:sty m:val="p"/>
          </m:rP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for a ligand to bind most tightly to the differentially expressed receptor (Fig.</w:t>
      </w:r>
      <w:r>
        <w:t xml:space="preserve"> </w:t>
      </w:r>
      <w:hyperlink w:anchor="fig:affinity">
        <w:r>
          <w:rPr>
            <w:rStyle w:val="Hyperlink"/>
          </w:rPr>
          <w:t xml:space="preserve">2</w:t>
        </w:r>
      </w:hyperlink>
      <w:r>
        <w:t xml:space="preserve">b).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also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binding isoclines in the contour plot. For example, in the monovalent case, the relative quantities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Previous work has shown that our multivalent binding can accurately predict the complicated binding process between IgG antibodies and Fcγ receptors.</w:t>
      </w:r>
      <w:r>
        <w:rPr>
          <w:b/>
          <w:vertAlign w:val="superscript"/>
        </w:rPr>
        <w:t xml:space="preserve">???</w:t>
      </w:r>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requires coordinate changes in affinity. Like we predict,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optimization to determine the optimally cell type selective ligand for our theoretical cell populations. It is often the case that target cell populations express receptors common to a range of adjacent, off-target populations. Thus,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dominant therapeutic design strategies emerge.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(Fig.</w:t>
      </w:r>
      <w:r>
        <w:t xml:space="preserve"> </w:t>
      </w:r>
      <w:hyperlink w:anchor="fig:combination">
        <w:r>
          <w:rPr>
            <w:rStyle w:val="Hyperlink"/>
          </w:rPr>
          <w:t xml:space="preserve">6</w:t>
        </w:r>
      </w:hyperlink>
      <w:r>
        <w:t xml:space="preserve">m-r). Therefore, we wondered if binding competition with a receptor antagonist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The selectivity toward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was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antagonistic ligands to uniquely target populations expressing small or intermediate amounts of receptors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x</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2020-10-07T03:06:01Z</dcterms:created>
  <dcterms:modified xsi:type="dcterms:W3CDTF">2020-10-07T03:06:01Z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