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2,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results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an equilibrium, multi-valent, multi-ligand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unique receptor expression, but more commonly target and off-target cells express the same collection of receptors and differ only in their amounts.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We will use a quantitative binding estimation for these two cell populations to examine these strategies.</w:t>
      </w:r>
    </w:p>
    <w:p>
      <w:pPr>
        <w:pStyle w:val="BodyText"/>
      </w:pPr>
      <w:r>
        <w:t xml:space="preserve">While ligand-receptor binding events in biology are diverse, they are governed by their thermodynamic properties and the law of mass action. When a reaction reaches its equilibrium state, the ratio of the concentration of monomeric ligand-receptor complex,</w:t>
      </w:r>
      <w:r>
        <w:t xml:space="preserve"> </w:t>
      </w:r>
      <m:oMath>
        <m:r>
          <m:t>[</m:t>
        </m:r>
        <m:r>
          <m:t>L</m:t>
        </m:r>
        <m:r>
          <m:t>R</m:t>
        </m:r>
        <m:r>
          <m:t>]</m:t>
        </m:r>
      </m:oMath>
      <w:r>
        <w:t xml:space="preserve">, to the product of the concentrations of each,</w:t>
      </w:r>
      <w:r>
        <w:t xml:space="preserve"> </w:t>
      </w:r>
      <m:oMath>
        <m:r>
          <m:t>[</m:t>
        </m:r>
        <m:r>
          <m:t>L</m:t>
        </m:r>
        <m:r>
          <m:t>]</m:t>
        </m:r>
        <m:r>
          <m:t>[</m:t>
        </m:r>
        <m:r>
          <m:t>R</m:t>
        </m:r>
        <m:r>
          <m:t>]</m:t>
        </m:r>
      </m:oMath>
      <w:r>
        <w:t xml:space="preserve">, can be defined as an association constant</w:t>
      </w:r>
      <w:r>
        <w:t xml:space="preserve"> </w:t>
      </w:r>
      <m:oMath>
        <m:sSub>
          <m:e>
            <m:r>
              <m:t>K</m:t>
            </m:r>
          </m:e>
          <m:sub>
            <m:r>
              <m:t>a</m:t>
            </m:r>
          </m:sub>
        </m:sSub>
      </m:oMath>
      <w:r>
        <w:t xml:space="preserve">, and its reciprocal is defined as the dissociation constant</w:t>
      </w:r>
      <w:r>
        <w:t xml:space="preserve"> </w:t>
      </w:r>
      <m:oMath>
        <m:sSub>
          <m:e>
            <m:r>
              <m:t>K</m:t>
            </m:r>
          </m:e>
          <m:sub>
            <m:r>
              <m:t>d</m:t>
            </m:r>
          </m:sub>
        </m:sSub>
      </m:oMath>
      <w:r>
        <w:t xml:space="preserve">. The number of ligands in the solution is often much greater than that of the receptors so that binding does not deplete the ligand concentration. Binding behavior is more complex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will assume that the first subunit on a ligand complex binds according to the same dynamics that govern monovalent binding. Subsequent binding events exhibit different behavior, however, due to the increased local concentration of the complex.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due to its different local concentration and steric effects. Another consideration that must be made when modeling multivalent binding processes is whether a ligand complex is formed by a random assortment of monomer units or by engineering to produce complexes of defined uniform composition.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have multiple contour lines between and so point 3 has more ligand binding.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w:t>
      </w:r>
    </w:p>
    <w:p>
      <w:pPr>
        <w:pStyle w:val="BodyText"/>
      </w:pPr>
      <w:r>
        <w:t xml:space="preserve">As an example, we chose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the dissociation constants to the two receptors to be</w:t>
      </w:r>
      <w:r>
        <w:t xml:space="preserve"> </w:t>
      </w:r>
      <m:oMath>
        <m:r>
          <m:t>10</m:t>
        </m:r>
        <m:r>
          <m:rPr>
            <m:sty m:val="p"/>
          </m:rPr>
          <m:t>μ</m:t>
        </m:r>
        <m:r>
          <m:rPr>
            <m:sty m:val="p"/>
          </m:rPr>
          <m:t>M</m:t>
        </m:r>
      </m:oMath>
      <w:r>
        <w:t xml:space="preserve"> </w:t>
      </w:r>
      <w:r>
        <w:t xml:space="preserve">and</w:t>
      </w:r>
      <w:r>
        <w:t xml:space="preserve"> </w:t>
      </w:r>
      <m:oMath>
        <m:sSup>
          <m:e>
            <m:r>
              <m:t>10</m:t>
            </m:r>
          </m:e>
          <m:sup>
            <m:r>
              <m:t>2</m:t>
            </m:r>
          </m:sup>
        </m:sSup>
        <m:r>
          <m:rPr>
            <m:sty m:val="p"/>
          </m:rPr>
          <m:t>n</m:t>
        </m:r>
        <m:r>
          <m:rPr>
            <m:sty m:val="p"/>
          </m:rPr>
          <m:t>M</m:t>
        </m:r>
      </m:oMath>
      <w:r>
        <w:t xml:space="preserve">, respectively. Figure</w:t>
      </w:r>
      <w:r>
        <w:t xml:space="preserve"> </w:t>
      </w:r>
      <w:hyperlink w:anchor="fig:model">
        <w:r>
          <w:rPr>
            <w:rStyle w:val="Hyperlink"/>
          </w:rPr>
          <w:t xml:space="preserve">1</w:t>
        </w:r>
      </w:hyperlink>
      <w:r>
        <w:t xml:space="preserve">c shows that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adding more</w:t>
      </w:r>
      <w:r>
        <w:t xml:space="preserve"> </w:t>
      </w:r>
      <m:oMath>
        <m:sSub>
          <m:e>
            <m:r>
              <m:t>R</m:t>
            </m:r>
          </m:e>
          <m:sub>
            <m:r>
              <m:t>2</m:t>
            </m:r>
          </m:sub>
        </m:sSub>
      </m:oMath>
      <w:r>
        <w:t xml:space="preserve"> </w:t>
      </w:r>
      <w:r>
        <w:t xml:space="preserve">(moving upward, e.g. from 1 to 3) will lead to a great boost on ligand bound. The high affinity of</w:t>
      </w:r>
      <w:r>
        <w:t xml:space="preserve"> </w:t>
      </w:r>
      <m:oMath>
        <m:sSub>
          <m:e>
            <m:r>
              <m:t>R</m:t>
            </m:r>
          </m:e>
          <m:sub>
            <m:r>
              <m:t>2</m:t>
            </m:r>
          </m:sub>
        </m:sSub>
      </m:oMath>
      <w:r>
        <w:t xml:space="preserve"> </w:t>
      </w:r>
      <w:r>
        <w:t xml:space="preserve">leads to a greater binding dependence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corresponds to some cue inducing expression of a receptor (e.g. interferon-induced upregulation of MHC, or regulatory T cell upregulation of IL-2R⍺</w:t>
      </w:r>
      <w:hyperlink w:anchor="ref-11Hb1fNV6">
        <w:r>
          <w:rPr>
            <w:rStyle w:val="Hyperlink"/>
            <w:vertAlign w:val="superscript"/>
          </w:rPr>
          <w:t xml:space="preserve">15</w:t>
        </w:r>
      </w:hyperlink>
      <w:r>
        <w:t xml:space="preserve">).</w:t>
      </w:r>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using affinity, valency, and hetero-valent complexes improve cell-specific targeting. Although we will only consider two receptor and ligand subunit types, respectively, the principles we present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sSup>
          <m:e>
            <m:r>
              <m:t>10</m:t>
            </m:r>
          </m:e>
          <m:sup>
            <m:r>
              <m:t>2</m:t>
            </m:r>
          </m:sup>
        </m:sSup>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t>n</m:t>
        </m:r>
        <m:r>
          <m:t>M</m:t>
        </m:r>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sSup>
          <m:e>
            <m:r>
              <m:t>10</m:t>
            </m:r>
          </m:e>
          <m:sup>
            <m:r>
              <m:t>2</m:t>
            </m:r>
          </m:sup>
        </m:sSup>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t>n</m:t>
        </m:r>
        <m:r>
          <m:t>M</m:t>
        </m:r>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BodyText"/>
      </w:pPr>
      <w:r>
        <w:t xml:space="preserve">When a target cell population expresses a unique receptor or pattern of receptors, enhancing the affinity to this receptor or reducing the affinity to other receptors are clear strategies to increase selective binding (Fig.</w:t>
      </w:r>
      <w:r>
        <w:t xml:space="preserve"> </w:t>
      </w:r>
      <w:hyperlink w:anchor="fig:affinity">
        <w:r>
          <w:rPr>
            <w:rStyle w:val="Hyperlink"/>
          </w:rPr>
          <w:t xml:space="preserve">2</w:t>
        </w:r>
      </w:hyperlink>
      <w:r>
        <w:t xml:space="preserve">a). As an example, cell type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expresses a high amount of receptor 1, while type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expresses receptor 2 at a higher abundance (Fig.</w:t>
      </w:r>
      <w:r>
        <w:t xml:space="preserve"> </w:t>
      </w:r>
      <w:hyperlink w:anchor="fig:affinity">
        <w:r>
          <w:rPr>
            <w:rStyle w:val="Hyperlink"/>
          </w:rPr>
          <w:t xml:space="preserve">2</w:t>
        </w:r>
      </w:hyperlink>
      <w:r>
        <w:t xml:space="preserve">a). Enhancing ligand affinity for receptor 1 and weakening its interaction with receptor 2 results in improved binding selectivity toward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(Fig.</w:t>
      </w:r>
      <w:r>
        <w:t xml:space="preserve"> </w:t>
      </w:r>
      <w:hyperlink w:anchor="fig:affinity">
        <w:r>
          <w:rPr>
            <w:rStyle w:val="Hyperlink"/>
          </w:rPr>
          <w:t xml:space="preserve">2</w:t>
        </w:r>
      </w:hyperlink>
      <w:r>
        <w:t xml:space="preserve">e). Unsurprisingly, all cell populations with abundant receptor 1 bind greater amounts of ligand in this case. The contour plot on the background shows this trend more intuitively: when the affinity of receptor 1 increases (from the subplots on the left to those on the right), the contour lines shift inward and cluster more densely, indicating an enhanced sensitivity of binding to expression of receptor 1.</w:t>
      </w:r>
    </w:p>
    <w:p>
      <w:pPr>
        <w:pStyle w:val="BodyText"/>
      </w:pPr>
      <w:r>
        <w:t xml:space="preserve">However, just as often, both on- and off-target cell populations express the same set of receptors and only differ in their magnitude of expression. An example of this pattern is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affinity">
        <w:r>
          <w:rPr>
            <w:rStyle w:val="Hyperlink"/>
          </w:rPr>
          <w:t xml:space="preserve">2</w:t>
        </w:r>
      </w:hyperlink>
      <w:r>
        <w:t xml:space="preserve">a). In this case, the benefit of affinity changes is limited to the relative difference in receptor amounts (Fig.</w:t>
      </w:r>
      <w:r>
        <w:t xml:space="preserve"> </w:t>
      </w:r>
      <w:hyperlink w:anchor="fig:affinity">
        <w:r>
          <w:rPr>
            <w:rStyle w:val="Hyperlink"/>
          </w:rPr>
          <w:t xml:space="preserve">2</w:t>
        </w:r>
      </w:hyperlink>
      <w:r>
        <w:t xml:space="preserve">c). In situations where both target and off target receptors express of a receptor of interest, but in differing quantities, such as when comparing</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we see that it is beneficial to tune a ligand for tighter binding to the differentially expressed receptor (Fig.</w:t>
      </w:r>
      <w:r>
        <w:t xml:space="preserve"> </w:t>
      </w:r>
      <w:hyperlink w:anchor="fig:affinity">
        <w:r>
          <w:rPr>
            <w:rStyle w:val="Hyperlink"/>
          </w:rPr>
          <w:t xml:space="preserve">2</w:t>
        </w:r>
      </w:hyperlink>
      <w:r>
        <w:t xml:space="preserve">b). In cases where multiple receptors of interest are uniformally upregulated in a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l</m:t>
            </m:r>
            <m:r>
              <m:t>o</m:t>
            </m:r>
          </m:sup>
        </m:sSubSup>
        <m:sSubSup>
          <m:e>
            <m:r>
              <m:t>R</m:t>
            </m:r>
          </m:e>
          <m:sub>
            <m:r>
              <m:t>2</m:t>
            </m:r>
          </m:sub>
          <m:sup>
            <m:r>
              <m:t>l</m:t>
            </m:r>
            <m:r>
              <m:t>o</m:t>
            </m:r>
          </m:sup>
        </m:sSubSup>
      </m:oMath>
      <w:r>
        <w:t xml:space="preserve">, affinity tuning is inneffective (Fig.</w:t>
      </w:r>
      <w:r>
        <w:t xml:space="preserve"> </w:t>
      </w:r>
      <w:hyperlink w:anchor="fig:affinity">
        <w:r>
          <w:rPr>
            <w:rStyle w:val="Hyperlink"/>
          </w:rPr>
          <w:t xml:space="preserve">2</w:t>
        </w:r>
      </w:hyperlink>
      <w:r>
        <w:t xml:space="preserve">d). Thus, to use affinity changes for selectivity enhancement it is critical to identify which receptors a cell population of interest expresses most uniquely.</w:t>
      </w:r>
    </w:p>
    <w:p>
      <w:pPr>
        <w:pStyle w:val="BodyText"/>
      </w:pPr>
      <w:r>
        <w:t xml:space="preserve">Cell populations are made up of individual cells with heterogeneous amounts of receptor.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(Fig.</w:t>
      </w:r>
      <w:r>
        <w:t xml:space="preserve"> </w:t>
      </w:r>
      <w:hyperlink w:anchor="fig:affinity">
        <w:r>
          <w:rPr>
            <w:rStyle w:val="Hyperlink"/>
          </w:rPr>
          <w:t xml:space="preserve">2</w:t>
        </w:r>
      </w:hyperlink>
      <w:r>
        <w:t xml:space="preserve">). The ellipse representing its range of receptor abundances rides through multiple contour lines, indicating wide variation in the quantity of bound ligand. Thus, if we choose to maneuver the affinity of receptor 1 to attain more selective binding 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we can expect greater intra-population variation in binding to the latter (Fig.</w:t>
      </w:r>
      <w:r>
        <w:t xml:space="preserve"> </w:t>
      </w:r>
      <w:hyperlink w:anchor="fig:affinity">
        <w:r>
          <w:rPr>
            <w:rStyle w:val="Hyperlink"/>
          </w:rPr>
          <w:t xml:space="preserve">2</w:t>
        </w:r>
      </w:hyperlink>
      <w:r>
        <w:t xml:space="preserve">a).</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d). 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16</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a-c. Here, the amount of ligand bound by cells expressing different abundances of receptor 1 and 2 is quantified. Ligand binds both receptors with equal affinity and the valency of the ligand is varied across subplots. The most notable effect of changing valency is observed as variable density of binding isoclines in the contour plot. For example, in the monovalent case, the relative levels of binding of</w:t>
      </w:r>
      <w:r>
        <w:t xml:space="preserve"> </w:t>
      </w:r>
      <m:oMath>
        <m:sSubSup>
          <m:e>
            <m:r>
              <m:t>R</m:t>
            </m:r>
          </m:e>
          <m:sub>
            <m:r>
              <m:t>1</m:t>
            </m:r>
          </m:sub>
          <m:sup>
            <m:r>
              <m:t>l</m:t>
            </m:r>
            <m:r>
              <m:t>o</m:t>
            </m:r>
          </m:sup>
        </m:sSubSup>
        <m:sSubSup>
          <m:e>
            <m:r>
              <m:t>R</m:t>
            </m:r>
          </m:e>
          <m:sub>
            <m:r>
              <m:t>2</m:t>
            </m:r>
          </m:sub>
          <m:sup>
            <m:r>
              <m:t>l</m:t>
            </m:r>
            <m:r>
              <m:t>o</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h</m:t>
            </m:r>
            <m:r>
              <m:t>i</m:t>
            </m:r>
          </m:sup>
        </m:sSubSup>
      </m:oMath>
      <w:r>
        <w:t xml:space="preserve">, all of which have identical relative abundance of receptors 1 and 2, is exactly proportional to their receptor abundance. However, in the multivalent case, the density of contour isoclines varies as a function of receptor expression, causing the ligand binding difference between these populations to vary.</w:t>
      </w:r>
    </w:p>
    <w:p>
      <w:pPr>
        <w:pStyle w:val="BodyText"/>
      </w:pPr>
      <w:r>
        <w:t xml:space="preserve">To further validate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MCF-7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Selectivity derived by changing valency requires coordinate changes in affinity. Like we predict, lower affinity, multi-valent interactions have been shown to exhibit selectivity based on receptor abundance.</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this interplay (Fig.</w:t>
      </w:r>
      <w:r>
        <w:t xml:space="preserve"> </w:t>
      </w:r>
      <w:hyperlink w:anchor="fig:valency">
        <w:r>
          <w:rPr>
            <w:rStyle w:val="Hyperlink"/>
          </w:rPr>
          <w:t xml:space="preserve">3</w:t>
        </w:r>
      </w:hyperlink>
      <w:r>
        <w:t xml:space="preserve">b-d). Here, the ligand binding ratios between cell populations are shown for ligands of high, medium, and low affinities (</w:t>
      </w:r>
      <m:oMath>
        <m:sSub>
          <m:e>
            <m:r>
              <m:t>K</m:t>
            </m:r>
          </m:e>
          <m:sub>
            <m:r>
              <m:t>a</m:t>
            </m:r>
          </m:sub>
        </m:sSub>
      </m:oMath>
      <w:r>
        <w:t xml:space="preserve"> </w:t>
      </w:r>
      <w:r>
        <w:t xml:space="preserve">of</w:t>
      </w:r>
      <w:r>
        <w:t xml:space="preserve"> </w:t>
      </w:r>
      <m:oMath>
        <m:sSup>
          <m:e>
            <m:r>
              <m:t>10</m:t>
            </m:r>
          </m:e>
          <m:sup>
            <m:r>
              <m:t>6</m:t>
            </m:r>
          </m:sup>
        </m:sSup>
      </m:oMath>
      <w:r>
        <w:t xml:space="preserve">,</w:t>
      </w:r>
      <w:r>
        <w:t xml:space="preserve"> </w:t>
      </w:r>
      <m:oMath>
        <m:sSup>
          <m:e>
            <m:r>
              <m:t>10</m:t>
            </m:r>
          </m:e>
          <m:sup>
            <m:r>
              <m:t>7</m:t>
            </m:r>
          </m:sup>
        </m:sSup>
      </m:oMath>
      <w:r>
        <w:t xml:space="preserve">,</w:t>
      </w:r>
      <w:r>
        <w:t xml:space="preserve"> </w:t>
      </w:r>
      <m:oMath>
        <m:sSup>
          <m:e>
            <m:r>
              <m:t>10</m:t>
            </m:r>
          </m:e>
          <m:sup>
            <m:r>
              <m:t>8</m:t>
            </m:r>
          </m:sup>
        </m:sSup>
      </m:oMath>
      <w:r>
        <w:t xml:space="preserve"> </w:t>
      </w:r>
      <m:oMath>
        <m:sSup>
          <m:e>
            <m:r>
              <m:rPr>
                <m:sty m:val="p"/>
              </m:rPr>
              <m:t>M</m:t>
            </m:r>
          </m:e>
          <m:sup>
            <m:r>
              <m:rPr>
                <m:sty m:val="p"/>
              </m:rPr>
              <m:t>−</m:t>
            </m:r>
            <m:r>
              <m:rPr>
                <m:sty m:val="p"/>
              </m:rPr>
              <m:t>1</m:t>
            </m:r>
          </m:sup>
        </m:sSup>
      </m:oMath>
      <w:r>
        <w:t xml:space="preserve">). For example,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Our model allows us to identify the mechanism of valency-mediated receptor abundance selectivity by looking at the average number of receptors bound by each ligand complex. A cell expressing</w:t>
      </w:r>
      <w:r>
        <w:t xml:space="preserve"> </w:t>
      </w:r>
      <m:oMath>
        <m:sSup>
          <m:e>
            <m:r>
              <m:t>10</m:t>
            </m:r>
          </m:e>
          <m:sup>
            <m:r>
              <m:t>4</m:t>
            </m:r>
          </m:sup>
        </m:sSup>
      </m:oMath>
      <w:r>
        <w:t xml:space="preserve"> </w:t>
      </w:r>
      <w:r>
        <w:t xml:space="preserve">receptors displays similar amounts of binding at each valency for ligands with association constants of</w:t>
      </w:r>
      <w:r>
        <w:t xml:space="preserve"> </w:t>
      </w:r>
      <m:oMath>
        <m:sSup>
          <m:e>
            <m:r>
              <m:t>10</m:t>
            </m:r>
          </m:e>
          <m:sup>
            <m:r>
              <m:t>6</m:t>
            </m:r>
          </m:sup>
        </m:sSup>
      </m:oMath>
      <w:r>
        <w:t xml:space="preserve">,</w:t>
      </w:r>
      <w:r>
        <w:t xml:space="preserve"> </w:t>
      </w:r>
      <m:oMath>
        <m:sSup>
          <m:e>
            <m:r>
              <m:t>10</m:t>
            </m:r>
          </m:e>
          <m:sup>
            <m:r>
              <m:t>7</m:t>
            </m:r>
          </m:sup>
        </m:sSup>
      </m:oMath>
      <w:r>
        <w:t xml:space="preserve">, and</w:t>
      </w:r>
      <w:r>
        <w:t xml:space="preserve"> </w:t>
      </w:r>
      <m:oMath>
        <m:sSup>
          <m:e>
            <m:r>
              <m:t>10</m:t>
            </m:r>
          </m:e>
          <m:sup>
            <m:r>
              <m:t>8</m:t>
            </m:r>
          </m:sup>
        </m:sSup>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binding by binding ligand at high valency, as the rate of multi-valent binding is greater than that of disassociation (Fig.</w:t>
      </w:r>
      <w:r>
        <w:t xml:space="preserve"> </w:t>
      </w:r>
      <w:hyperlink w:anchor="fig:valency">
        <w:r>
          <w:rPr>
            <w:rStyle w:val="Hyperlink"/>
          </w:rPr>
          <w:t xml:space="preserve">3</w:t>
        </w:r>
      </w:hyperlink>
      <w:r>
        <w:t xml:space="preserve">f). This effect allows for valency to provide selectivity between cells having differences in receptor expression density, where affinity alone fails.</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with an dissociation constant of</w:t>
      </w:r>
      <w:r>
        <w:t xml:space="preserve"> </w:t>
      </w:r>
      <m:oMath>
        <m:r>
          <m:t>330</m:t>
        </m:r>
        <m:r>
          <m:rPr>
            <m:sty m:val="p"/>
          </m:rPr>
          <m:t>n</m:t>
        </m:r>
        <m:r>
          <m:rPr>
            <m:sty m:val="p"/>
          </m:rPr>
          <m:t>M</m:t>
        </m:r>
      </m:oMath>
      <w:r>
        <w:t xml:space="preserve">, and do not bind to receptor 2.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m:t>
        </m:r>
        <m:r>
          <m:t>×</m:t>
        </m:r>
        <m:sSup>
          <m:e>
            <m:r>
              <m:t>10</m:t>
            </m:r>
          </m:e>
          <m:sup>
            <m:r>
              <m:t>3</m:t>
            </m:r>
          </m:sup>
        </m:sSup>
        <m:r>
          <m:rPr>
            <m:sty m:val="p"/>
          </m:rPr>
          <m:t>n</m:t>
        </m:r>
        <m:r>
          <m:rPr>
            <m:sty m:val="p"/>
          </m:rPr>
          <m:t>M</m:t>
        </m:r>
      </m:oMath>
      <w:r>
        <w:t xml:space="preserve">,</w:t>
      </w:r>
      <w:r>
        <w:t xml:space="preserve"> </w:t>
      </w:r>
      <m:oMath>
        <m:r>
          <m:t>1</m:t>
        </m:r>
        <m:r>
          <m:t>×</m:t>
        </m:r>
        <m:sSup>
          <m:e>
            <m:r>
              <m:t>10</m:t>
            </m:r>
          </m:e>
          <m:sup>
            <m:r>
              <m:t>2</m:t>
            </m:r>
          </m:sup>
        </m:sSup>
        <m:r>
          <m:rPr>
            <m:sty m:val="p"/>
          </m:rPr>
          <m:t>n</m:t>
        </m:r>
        <m:r>
          <m:rPr>
            <m:sty m:val="p"/>
          </m:rPr>
          <m:t>M</m:t>
        </m:r>
      </m:oMath>
      <w:r>
        <w:t xml:space="preserve">, or</w:t>
      </w:r>
      <w:r>
        <w:t xml:space="preserve"> </w:t>
      </w:r>
      <m:oMath>
        <m:r>
          <m:t>10</m:t>
        </m:r>
        <m:r>
          <m:rPr>
            <m:sty m:val="p"/>
          </m:rPr>
          <m:t>n</m:t>
        </m:r>
        <m:r>
          <m:rPr>
            <m:sty m:val="p"/>
          </m:rPr>
          <m:t>M</m:t>
        </m:r>
      </m:oMath>
      <w:r>
        <w:t xml:space="preserve"> </w:t>
      </w:r>
      <w:r>
        <w:t xml:space="preserve">for receptor 1. d) Number of octavalent complex bound at each degree for a cell with</w:t>
      </w:r>
      <w:r>
        <w:t xml:space="preserve"> </w:t>
      </w:r>
      <m:oMath>
        <m:r>
          <m:t>1</m:t>
        </m:r>
        <m:r>
          <m:t>×</m:t>
        </m:r>
        <m:sSup>
          <m:e>
            <m:r>
              <m:t>10</m:t>
            </m:r>
          </m:e>
          <m:sup>
            <m:r>
              <m:t>4</m:t>
            </m:r>
          </m:sup>
        </m:sSup>
      </m:oMath>
      <w:r>
        <w:t xml:space="preserve"> </w:t>
      </w:r>
      <w:r>
        <w:t xml:space="preserve">receptors. e) Number of octavalent complex bound at each degree for a cell with</w:t>
      </w:r>
      <w:r>
        <w:t xml:space="preserve"> </w:t>
      </w:r>
      <m:oMath>
        <m:r>
          <m:t>1</m:t>
        </m:r>
        <m:r>
          <m:t>×</m:t>
        </m:r>
        <m:sSup>
          <m:e>
            <m:r>
              <m:t>10</m:t>
            </m:r>
          </m:e>
          <m:sup>
            <m:r>
              <m:t>3</m:t>
            </m:r>
          </m:sup>
        </m:sSup>
      </m:oMath>
      <w:r>
        <w:t xml:space="preserve"> </w:t>
      </w:r>
      <w:r>
        <w:t xml:space="preserve">receptors. f) Fraction of forward to reverse binding rates for a multivalent ligand binding to a cell with varying amounts of receptor expression, following an initial binding event.</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with an dissociation constant of</w:t>
      </w:r>
      <w:r>
        <w:t xml:space="preserve"> </w:t>
      </w:r>
      <m:oMath>
        <m:r>
          <m:t>330</m:t>
        </m:r>
        <m:r>
          <m:rPr>
            <m:sty m:val="p"/>
          </m:rPr>
          <m:t>n</m:t>
        </m:r>
        <m:r>
          <m:rPr>
            <m:sty m:val="p"/>
          </m:rPr>
          <m:t>M</m:t>
        </m:r>
      </m:oMath>
      <w:r>
        <w:t xml:space="preserve">, and do not bind to receptor 2.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m:t>
        </m:r>
        <m:r>
          <m:t>×</m:t>
        </m:r>
        <m:sSup>
          <m:e>
            <m:r>
              <m:t>10</m:t>
            </m:r>
          </m:e>
          <m:sup>
            <m:r>
              <m:t>3</m:t>
            </m:r>
          </m:sup>
        </m:sSup>
        <m:r>
          <m:rPr>
            <m:sty m:val="p"/>
          </m:rPr>
          <m:t>n</m:t>
        </m:r>
        <m:r>
          <m:rPr>
            <m:sty m:val="p"/>
          </m:rPr>
          <m:t>M</m:t>
        </m:r>
      </m:oMath>
      <w:r>
        <w:t xml:space="preserve">,</w:t>
      </w:r>
      <w:r>
        <w:t xml:space="preserve"> </w:t>
      </w:r>
      <m:oMath>
        <m:r>
          <m:t>1</m:t>
        </m:r>
        <m:r>
          <m:t>×</m:t>
        </m:r>
        <m:sSup>
          <m:e>
            <m:r>
              <m:t>10</m:t>
            </m:r>
          </m:e>
          <m:sup>
            <m:r>
              <m:t>2</m:t>
            </m:r>
          </m:sup>
        </m:sSup>
        <m:r>
          <m:rPr>
            <m:sty m:val="p"/>
          </m:rPr>
          <m:t>n</m:t>
        </m:r>
        <m:r>
          <m:rPr>
            <m:sty m:val="p"/>
          </m:rPr>
          <m:t>M</m:t>
        </m:r>
      </m:oMath>
      <w:r>
        <w:t xml:space="preserve">, or</w:t>
      </w:r>
      <w:r>
        <w:t xml:space="preserve"> </w:t>
      </w:r>
      <m:oMath>
        <m:r>
          <m:t>10</m:t>
        </m:r>
        <m:r>
          <m:rPr>
            <m:sty m:val="p"/>
          </m:rPr>
          <m:t>n</m:t>
        </m:r>
        <m:r>
          <m:rPr>
            <m:sty m:val="p"/>
          </m:rPr>
          <m:t>M</m:t>
        </m:r>
      </m:oMath>
      <w:r>
        <w:t xml:space="preserve"> </w:t>
      </w:r>
      <w:r>
        <w:t xml:space="preserve">for receptor 1. d) Number of octavalent complex bound at each degree for a cell with</w:t>
      </w:r>
      <w:r>
        <w:t xml:space="preserve"> </w:t>
      </w:r>
      <m:oMath>
        <m:r>
          <m:t>1</m:t>
        </m:r>
        <m:r>
          <m:t>×</m:t>
        </m:r>
        <m:sSup>
          <m:e>
            <m:r>
              <m:t>10</m:t>
            </m:r>
          </m:e>
          <m:sup>
            <m:r>
              <m:t>4</m:t>
            </m:r>
          </m:sup>
        </m:sSup>
      </m:oMath>
      <w:r>
        <w:t xml:space="preserve"> </w:t>
      </w:r>
      <w:r>
        <w:t xml:space="preserve">receptors. e) Number of octavalent complex bound at each degree for a cell with</w:t>
      </w:r>
      <w:r>
        <w:t xml:space="preserve"> </w:t>
      </w:r>
      <m:oMath>
        <m:r>
          <m:t>1</m:t>
        </m:r>
        <m:r>
          <m:t>×</m:t>
        </m:r>
        <m:sSup>
          <m:e>
            <m:r>
              <m:t>10</m:t>
            </m:r>
          </m:e>
          <m:sup>
            <m:r>
              <m:t>3</m:t>
            </m:r>
          </m:sup>
        </m:sSup>
      </m:oMath>
      <w:r>
        <w:t xml:space="preserve"> </w:t>
      </w:r>
      <w:r>
        <w:t xml:space="preserve">receptors. f) Fraction of forward to reverse binding rates for a multivalent ligand binding to a cell with varying amounts of receptor expression, following an initial binding event.</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18</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19</w:t>
        </w:r>
      </w:hyperlink>
      <w:r>
        <w:t xml:space="preserve"> </w:t>
      </w:r>
      <w:r>
        <w:t xml:space="preserve">In these cases, it is important to understand how these species influence the overall response.</w:t>
      </w:r>
    </w:p>
    <w:p>
      <w:pPr>
        <w:pStyle w:val="BodyText"/>
      </w:pPr>
      <w:r>
        <w:t xml:space="preserve">To evaluate the contribution of mixtures, we evaluated model-predicted binding while varying the composition between ligands with either receptor 1- or 2-preferred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is always maximized by using 100% of the more specific ligand, at least when defining selectivity between two populations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effective when considering three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cell population combinations where many off-target populations are considered (Fig.</w:t>
      </w:r>
      <w:r>
        <w:t xml:space="preserve"> </w:t>
      </w:r>
      <w:hyperlink w:anchor="fig:mixture">
        <w:r>
          <w:rPr>
            <w:rStyle w:val="Hyperlink"/>
          </w:rPr>
          <w:t xml:space="preserve">4</w:t>
        </w:r>
      </w:hyperlink>
      <w:r>
        <w:t xml:space="preserve">d).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8lU1hNlA">
        <w:r>
          <w:rPr>
            <w:rStyle w:val="Hyperlink"/>
            <w:vertAlign w:val="superscript"/>
          </w:rPr>
          <w:t xml:space="preserve">20</w:t>
        </w:r>
      </w:hyperlink>
      <w:r>
        <w:rPr>
          <w:vertAlign w:val="superscript"/>
        </w:rPr>
        <w:t xml:space="preserve">,</w:t>
      </w:r>
      <w:hyperlink w:anchor="ref-11gk5tUo7">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Here, we use the bispecific ligand as an exemplar to dissect its advantages. Heterovalency is comparable to the two aforementioned strategies: it includes two distinct ligand monomers, similar to a 50%-50% mixture strategy, but these two subunits are tethered together; alternatively, it is also analogous to having a mixture of bivalent ligands. We applied the binding model to these cases with the same set of parameters and compared them in line to identify the unique advantage of heterovalency. These two monomers must have different binding profiles, otherwise it will be identical to the homogeneous bivalent case.</w:t>
      </w:r>
    </w:p>
    <w:p>
      <w:pPr>
        <w:pStyle w:val="BodyText"/>
      </w:pPr>
      <w:r>
        <w:t xml:space="preserve">The amount of bispecific ligand bound in general is plotted in Figure</w:t>
      </w:r>
      <w:r>
        <w:t xml:space="preserve"> </w:t>
      </w:r>
      <w:hyperlink w:anchor="fig:bispecific">
        <w:r>
          <w:rPr>
            <w:rStyle w:val="Hyperlink"/>
          </w:rPr>
          <w:t xml:space="preserve">5</w:t>
        </w:r>
      </w:hyperlink>
      <w:r>
        <w:t xml:space="preserve"> </w:t>
      </w:r>
      <w:r>
        <w:t xml:space="preserve">a, while the ligand-bound of a 50%-50% mix of monovalent ligands in Figure</w:t>
      </w:r>
      <w:r>
        <w:t xml:space="preserve"> </w:t>
      </w:r>
      <w:hyperlink w:anchor="fig:bispecific">
        <w:r>
          <w:rPr>
            <w:rStyle w:val="Hyperlink"/>
          </w:rPr>
          <w:t xml:space="preserve">5</w:t>
        </w:r>
      </w:hyperlink>
      <w:r>
        <w:t xml:space="preserve"> </w:t>
      </w:r>
      <w:r>
        <w:t xml:space="preserve">b and 50%-50% mix of bivalent ligands in Figure</w:t>
      </w:r>
      <w:r>
        <w:t xml:space="preserve"> </w:t>
      </w:r>
      <w:hyperlink w:anchor="fig:bispecific">
        <w:r>
          <w:rPr>
            <w:rStyle w:val="Hyperlink"/>
          </w:rPr>
          <w:t xml:space="preserve">5</w:t>
        </w:r>
      </w:hyperlink>
      <w:r>
        <w:t xml:space="preserve"> </w:t>
      </w:r>
      <w:r>
        <w:t xml:space="preserve">c. Given the same parameter, the ligand-bounds of these three cases are almost exactly the same, and bispecific doesn’t exhibit any merit. When</w:t>
      </w:r>
      <w:r>
        <w:t xml:space="preserve"> </w:t>
      </w:r>
      <m:oMath>
        <m:sSubSup>
          <m:e>
            <m:r>
              <m:t>K</m:t>
            </m:r>
          </m:e>
          <m:sub>
            <m:r>
              <m:t>x</m:t>
            </m:r>
          </m:sub>
          <m:sup>
            <m:r>
              <m:t>*</m:t>
            </m:r>
          </m:sup>
        </m:sSubSup>
      </m:oMath>
      <w:r>
        <w:t xml:space="preserve"> </w:t>
      </w:r>
      <w:r>
        <w:t xml:space="preserve">is relatively small, it is expected that most bindings are the initial docking of the ligand without subsequent binding. Nonetheless, in many heterovalent cases such as the bispecific antibody,</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the drug will not be fully effective unless both subunits bind to targets. To scrutinize this case, we extended our model to calculate the amount of ligand fully bound. The predictions made for bispecific fully bound (with</w:t>
      </w:r>
      <w:r>
        <w:t xml:space="preserve"> </w:t>
      </w:r>
      <m:oMath>
        <m:sSubSup>
          <m:e>
            <m:r>
              <m:t>K</m:t>
            </m:r>
          </m:e>
          <m:sub>
            <m:r>
              <m:t>x</m:t>
            </m:r>
          </m:sub>
          <m:sup>
            <m:r>
              <m:t>*</m:t>
            </m:r>
          </m:sup>
        </m:sSubSup>
        <m:r>
          <m:t>=</m:t>
        </m:r>
        <m:sSup>
          <m:e>
            <m:r>
              <m:t>10</m:t>
            </m:r>
          </m:e>
          <m:sup>
            <m:r>
              <m:t>−</m:t>
            </m:r>
            <m:r>
              <m:t>12</m:t>
            </m:r>
          </m:sup>
        </m:sSup>
      </m:oMath>
      <w:r>
        <w:t xml:space="preserve">) plotted in Figure</w:t>
      </w:r>
      <w:r>
        <w:t xml:space="preserve"> </w:t>
      </w:r>
      <w:hyperlink w:anchor="fig:bispecific">
        <w:r>
          <w:rPr>
            <w:rStyle w:val="Hyperlink"/>
          </w:rPr>
          <w:t xml:space="preserve">5</w:t>
        </w:r>
      </w:hyperlink>
      <w:r>
        <w:t xml:space="preserve"> </w:t>
      </w:r>
      <w:r>
        <w:t xml:space="preserve">e show a different pattern than general ligand bound. Besides having a lower amount, fully bound ligand prefers double-positively expressed cells. This can be observed from the more concaved isoclines in Figure</w:t>
      </w:r>
      <w:r>
        <w:t xml:space="preserve"> </w:t>
      </w:r>
      <w:hyperlink w:anchor="fig:bispecific">
        <w:r>
          <w:rPr>
            <w:rStyle w:val="Hyperlink"/>
          </w:rPr>
          <w:t xml:space="preserve">5</w:t>
        </w:r>
      </w:hyperlink>
      <w:r>
        <w:t xml:space="preserve"> </w:t>
      </w:r>
      <w:r>
        <w:t xml:space="preserve">e compare with Figure</w:t>
      </w:r>
      <w:r>
        <w:t xml:space="preserve"> </w:t>
      </w:r>
      <w:hyperlink w:anchor="fig:bispecific">
        <w:r>
          <w:rPr>
            <w:rStyle w:val="Hyperlink"/>
          </w:rPr>
          <w:t xml:space="preserve">5</w:t>
        </w:r>
      </w:hyperlink>
      <w:r>
        <w:t xml:space="preserve"> </w:t>
      </w:r>
      <w:r>
        <w:t xml:space="preserve">a: in Figure</w:t>
      </w:r>
      <w:r>
        <w:t xml:space="preserve"> </w:t>
      </w:r>
      <w:hyperlink w:anchor="fig:bispecific">
        <w:r>
          <w:rPr>
            <w:rStyle w:val="Hyperlink"/>
          </w:rPr>
          <w:t xml:space="preserve">5</w:t>
        </w:r>
      </w:hyperlink>
      <w:r>
        <w:t xml:space="preserve"> </w:t>
      </w:r>
      <w:r>
        <w:t xml:space="preserve">e,</w:t>
      </w:r>
      <w:r>
        <w:t xml:space="preserve"> </w:t>
      </w:r>
      <m:oMath>
        <m:sSubSup>
          <m:e>
            <m:r>
              <m:t>R</m:t>
            </m:r>
          </m:e>
          <m:sub>
            <m:r>
              <m:t>1</m:t>
            </m:r>
          </m:sub>
          <m:sup>
            <m:r>
              <m:t>l</m:t>
            </m:r>
            <m:r>
              <m:t>o</m:t>
            </m:r>
          </m:sup>
        </m:sSubSup>
        <m:sSubSup>
          <m:e>
            <m:r>
              <m:t>R</m:t>
            </m:r>
          </m:e>
          <m:sub>
            <m:r>
              <m:t>2</m:t>
            </m:r>
          </m:sub>
          <m:sup>
            <m:r>
              <m:t>h</m:t>
            </m:r>
            <m:r>
              <m:t>i</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have about the same level of fully bound ligands. The bispecific also behaves differently from a 50%-50% mixture of homogeneous bivalent ligands when they fully bound, as plotted in Figure</w:t>
      </w:r>
      <w:r>
        <w:t xml:space="preserve"> </w:t>
      </w:r>
      <w:hyperlink w:anchor="fig:bispecific">
        <w:r>
          <w:rPr>
            <w:rStyle w:val="Hyperlink"/>
          </w:rPr>
          <w:t xml:space="preserve">5</w:t>
        </w:r>
      </w:hyperlink>
      <w:r>
        <w:t xml:space="preserve"> </w:t>
      </w:r>
      <w:r>
        <w:t xml:space="preserve">g. This indicates that bispecific ligand will provide unique enhancement only when the binding of both subunits is required.</w:t>
      </w:r>
    </w:p>
    <w:p>
      <w:pPr>
        <w:pStyle w:val="BodyText"/>
      </w:pPr>
      <w:r>
        <w:t xml:space="preserve">The binding characteristics of fully bound bispecific opens up new opportunities for targeting specific cell populations. The specific amount of fully bound ligands depends on the tendency of crosslinking, captured by</w:t>
      </w:r>
      <w:r>
        <w:t xml:space="preserve"> </w:t>
      </w:r>
      <m:oMath>
        <m:sSubSup>
          <m:e>
            <m:r>
              <m:t>K</m:t>
            </m:r>
          </m:e>
          <m:sub>
            <m:r>
              <m:t>x</m:t>
            </m:r>
          </m:sub>
          <m:sup>
            <m:r>
              <m:t>*</m:t>
            </m:r>
          </m:sup>
        </m:sSubSup>
      </m:oMath>
      <w:r>
        <w:t xml:space="preserve">, as shown in Figure</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recognize how the amount of fully bound bispecifics varies comparing with its untethered version (monovalent mixture) and the homogeneous bivalent case, we plotted Figure</w:t>
      </w:r>
      <w:r>
        <w:t xml:space="preserve"> </w:t>
      </w:r>
      <w:hyperlink w:anchor="fig:bispecific">
        <w:r>
          <w:rPr>
            <w:rStyle w:val="Hyperlink"/>
          </w:rPr>
          <w:t xml:space="preserve">5</w:t>
        </w:r>
      </w:hyperlink>
      <w:r>
        <w:t xml:space="preserve"> </w:t>
      </w:r>
      <w:r>
        <w:t xml:space="preserve">a normalized by</w:t>
      </w:r>
      <w:r>
        <w:t xml:space="preserve"> </w:t>
      </w:r>
      <w:hyperlink w:anchor="fig:bispecific">
        <w:r>
          <w:rPr>
            <w:rStyle w:val="Hyperlink"/>
          </w:rPr>
          <w:t xml:space="preserve">5</w:t>
        </w:r>
      </w:hyperlink>
      <w:r>
        <w:t xml:space="preserve"> </w:t>
      </w:r>
      <w:r>
        <w:t xml:space="preserve">b in</w:t>
      </w:r>
      <w:r>
        <w:t xml:space="preserve"> </w:t>
      </w:r>
      <w:hyperlink w:anchor="fig:bispecific">
        <w:r>
          <w:rPr>
            <w:rStyle w:val="Hyperlink"/>
          </w:rPr>
          <w:t xml:space="preserve">5</w:t>
        </w:r>
      </w:hyperlink>
      <w:r>
        <w:t xml:space="preserve"> </w:t>
      </w:r>
      <w:r>
        <w:t xml:space="preserve">h and by</w:t>
      </w:r>
      <w:r>
        <w:t xml:space="preserve"> </w:t>
      </w:r>
      <w:hyperlink w:anchor="fig:bispecific">
        <w:r>
          <w:rPr>
            <w:rStyle w:val="Hyperlink"/>
          </w:rPr>
          <w:t xml:space="preserve">5</w:t>
        </w:r>
      </w:hyperlink>
      <w:r>
        <w:t xml:space="preserve"> </w:t>
      </w:r>
      <w:r>
        <w:t xml:space="preserve">c in</w:t>
      </w:r>
      <w:r>
        <w:t xml:space="preserve"> </w:t>
      </w:r>
      <w:hyperlink w:anchor="fig:bispecific">
        <w:r>
          <w:rPr>
            <w:rStyle w:val="Hyperlink"/>
          </w:rPr>
          <w:t xml:space="preserve">5</w:t>
        </w:r>
      </w:hyperlink>
      <w:r>
        <w:t xml:space="preserve"> </w:t>
      </w:r>
      <w:r>
        <w:t xml:space="preserve">i. Compared with the monovalent mixture (Fig.</w:t>
      </w:r>
      <w:r>
        <w:t xml:space="preserve"> </w:t>
      </w:r>
      <w:hyperlink w:anchor="fig:bispecific">
        <w:r>
          <w:rPr>
            <w:rStyle w:val="Hyperlink"/>
          </w:rPr>
          <w:t xml:space="preserve">5</w:t>
        </w:r>
      </w:hyperlink>
      <w:r>
        <w:t xml:space="preserve"> </w:t>
      </w:r>
      <w:r>
        <w:t xml:space="preserve">h), fully bound bispecific clearly prefers doubly-positive cell populations, although in a non-linear fashion. This is verified by plotting the ratios of selectivities of various population pairs under tethered versus untethered condition in Figure</w:t>
      </w:r>
      <w:r>
        <w:t xml:space="preserve"> </w:t>
      </w:r>
      <w:hyperlink w:anchor="fig:bispecific">
        <w:r>
          <w:rPr>
            <w:rStyle w:val="Hyperlink"/>
          </w:rPr>
          <w:t xml:space="preserve">5</w:t>
        </w:r>
      </w:hyperlink>
      <w:r>
        <w:t xml:space="preserve"> </w:t>
      </w:r>
      <w:r>
        <w:t xml:space="preserve">k: when</w:t>
      </w:r>
      <w:r>
        <w:t xml:space="preserve"> </w:t>
      </w:r>
      <m:oMath>
        <m:sSubSup>
          <m:e>
            <m:r>
              <m:t>K</m:t>
            </m:r>
          </m:e>
          <m:sub>
            <m:r>
              <m:t>x</m:t>
            </m:r>
          </m:sub>
          <m:sup>
            <m:r>
              <m:t>*</m:t>
            </m:r>
          </m:sup>
        </m:sSubSup>
      </m:oMath>
      <w:r>
        <w:t xml:space="preserve"> </w:t>
      </w:r>
      <w:r>
        <w:t xml:space="preserve">is small, bispecific fully bound better targets towards</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but doesn’t help separating</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from</w:t>
      </w:r>
      <w:r>
        <w:t xml:space="preserve"> </w:t>
      </w:r>
      <m:oMath>
        <m:sSubSup>
          <m:e>
            <m:r>
              <m:t>R</m:t>
            </m:r>
          </m:e>
          <m:sub>
            <m:r>
              <m:t>1</m:t>
            </m:r>
          </m:sub>
          <m:sup>
            <m:r>
              <m:t>h</m:t>
            </m:r>
            <m:r>
              <m:t>i</m:t>
            </m:r>
          </m:sup>
        </m:sSubSup>
        <m:sSubSup>
          <m:e>
            <m:r>
              <m:t>R</m:t>
            </m:r>
          </m:e>
          <m:sub>
            <m:r>
              <m:t>2</m:t>
            </m:r>
          </m:sub>
          <m:sup>
            <m:r>
              <m:t>m</m:t>
            </m:r>
            <m:r>
              <m:t>e</m:t>
            </m:r>
            <m:r>
              <m:t>d</m:t>
            </m:r>
          </m:sup>
        </m:sSubSup>
      </m:oMath>
      <w:r>
        <w:t xml:space="preserve">. Compared with the bivalent mixture, bispecific fully bound prefers a narrow range of cell population with a certain receptor expression profile, as shown in Figure</w:t>
      </w:r>
      <w:r>
        <w:t xml:space="preserve"> </w:t>
      </w:r>
      <w:hyperlink w:anchor="fig:bispecific">
        <w:r>
          <w:rPr>
            <w:rStyle w:val="Hyperlink"/>
          </w:rPr>
          <w:t xml:space="preserve">5</w:t>
        </w:r>
      </w:hyperlink>
      <w:r>
        <w:t xml:space="preserve"> </w:t>
      </w:r>
      <w:r>
        <w:t xml:space="preserve">i as the</w:t>
      </w:r>
      <w:r>
        <w:t xml:space="preserve"> </w:t>
      </w:r>
      <w:r>
        <w:t xml:space="preserve">“</w:t>
      </w:r>
      <w:r>
        <w:t xml:space="preserve">dark belt</w:t>
      </w:r>
      <w:r>
        <w:t xml:space="preserve">”</w:t>
      </w:r>
      <w:r>
        <w:t xml:space="preserve">. The position of this dark belt may be dependent on the choices of ligand affinities.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sits in this</w:t>
      </w:r>
      <w:r>
        <w:t xml:space="preserve"> </w:t>
      </w:r>
      <w:r>
        <w:t xml:space="preserve">“</w:t>
      </w:r>
      <w:r>
        <w:t xml:space="preserve">belt</w:t>
      </w:r>
      <w:r>
        <w:t xml:space="preserve">”</w:t>
      </w:r>
      <w:r>
        <w:t xml:space="preserve">, thus preferred by the bispecifics. This is also corroborated by Figure</w:t>
      </w:r>
      <w:r>
        <w:t xml:space="preserve"> </w:t>
      </w:r>
      <w:hyperlink w:anchor="fig:bispecific">
        <w:r>
          <w:rPr>
            <w:rStyle w:val="Hyperlink"/>
          </w:rPr>
          <w:t xml:space="preserve">5</w:t>
        </w:r>
      </w:hyperlink>
      <w:r>
        <w:t xml:space="preserve"> </w:t>
      </w:r>
      <w:r>
        <w:t xml:space="preserve">l, the ratios of selectivities between bivalent mixture and bispecifics, where the green line illustrating the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ratio shoots up with decreasing</w:t>
      </w:r>
      <w:r>
        <w:t xml:space="preserve"> </w:t>
      </w:r>
      <m:oMath>
        <m:sSubSup>
          <m:e>
            <m:r>
              <m:t>K</m:t>
            </m:r>
          </m:e>
          <m:sub>
            <m:r>
              <m:t>x</m:t>
            </m:r>
          </m:sub>
          <m:sup>
            <m:r>
              <m:t>*</m:t>
            </m:r>
          </m:sup>
        </m:sSubSup>
      </m:oMath>
      <w:r>
        <w:t xml:space="preserve">.</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Example:</w:t>
      </w:r>
      <w:hyperlink w:anchor="ref-y7JtEfom">
        <w:r>
          <w:rPr>
            <w:rStyle w:val="Hyperlink"/>
            <w:vertAlign w:val="superscript"/>
          </w:rPr>
          <w:t xml:space="preserve">24</w:t>
        </w:r>
      </w:hyperlink>
    </w:p>
    <w:p>
      <w:pPr>
        <w:pStyle w:val="BodyText"/>
      </w:pPr>
      <w:r>
        <w:t xml:space="preserve">While each therapeutic design methodology discussed in this work can drive superior cell-type selectivity in certain situations, the advantages of intersecting these design strategies has yet to be thoroughly explored. Combining ligand design features such as affinity modulation, increasing valency, and mixing therapeutics offers a potential route for synergistically combining the effects offered by each. We explored these potential synergies using a quasi-newton optimizer to determine the optimally cell-type selective ligand for our theoretical cell populations.</w:t>
      </w:r>
    </w:p>
    <w:p>
      <w:pPr>
        <w:pStyle w:val="BodyText"/>
      </w:pPr>
      <w:r>
        <w:t xml:space="preserve">It is often the case that target cell populations express receptors common to a range of adjacent, off-target populations. Thus, we sought to determine the optimal ligand for particular cell populations while considering all other theoretical populations to exist as off-target cells. By optimizing within bounds that restricted all ligand modulations, we set our initial binding selectivity performance metric (Fig.</w:t>
      </w:r>
      <w:r>
        <w:t xml:space="preserve"> </w:t>
      </w:r>
      <w:hyperlink w:anchor="fig:combination">
        <w:r>
          <w:rPr>
            <w:rStyle w:val="Hyperlink"/>
          </w:rPr>
          <w:t xml:space="preserve">6</w:t>
        </w:r>
      </w:hyperlink>
      <w:r>
        <w:t xml:space="preserve">). To simulate the effects that affinity engineering could impart on selectivity, we then allowed ligand-receptor affinities to be varied.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synergistically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Here, and in many cases, a dominant therapeutic design strategy emerges without consideration of all possible engineering avenues.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While affinity, valency, and mixture engineering are able to impart some small contributions to enhanced selectivity, significant improvement is only achieved when combining all aforementioned strategies (Fig.</w:t>
      </w:r>
      <w:r>
        <w:t xml:space="preserve"> </w:t>
      </w:r>
      <w:hyperlink w:anchor="fig:combination">
        <w:r>
          <w:rPr>
            <w:rStyle w:val="Hyperlink"/>
          </w:rPr>
          <w:t xml:space="preserve">6</w:t>
        </w:r>
      </w:hyperlink>
      <w:r>
        <w:t xml:space="preserve">g-l).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which lies in the midst of the other populations in receptor expression space (Fig.</w:t>
      </w:r>
      <w:r>
        <w:t xml:space="preserve"> </w:t>
      </w:r>
      <w:hyperlink w:anchor="fig:mixture">
        <w:r>
          <w:rPr>
            <w:rStyle w:val="Hyperlink"/>
          </w:rPr>
          <w:t xml:space="preserve">4</w:t>
        </w:r>
      </w:hyperlink>
      <w:r>
        <w:t xml:space="preserve">m-r). Here, solely allowing for modulation of affinity, or combining it with mixture-based strategies is ineffective. Only with the introduction of valency modulation is selectivity significantly enhanced. However, an alternative approach to targeting</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is presented in Fig.</w:t>
      </w:r>
      <w:r>
        <w:t xml:space="preserve"> </w:t>
      </w:r>
      <w:hyperlink w:anchor="fig:combination">
        <w:r>
          <w:rPr>
            <w:rStyle w:val="Hyperlink"/>
          </w:rPr>
          <w:t xml:space="preserve">6</w:t>
        </w:r>
      </w:hyperlink>
      <w:r>
        <w:t xml:space="preserve">s-v. Here the population is exposed to a mixture of an octovalent</w:t>
      </w:r>
      <w:r>
        <w:t xml:space="preserve"> </w:t>
      </w:r>
      <w:r>
        <w:t xml:space="preserve">“</w:t>
      </w:r>
      <w:r>
        <w:t xml:space="preserve">dead</w:t>
      </w:r>
      <w:r>
        <w:t xml:space="preserve">”</w:t>
      </w:r>
      <w:r>
        <w:t xml:space="preserve"> </w:t>
      </w:r>
      <w:r>
        <w:t xml:space="preserve">ligand which can bind receptors 1 and 2 but is assumed to not induce signaling response and a therapeutic monovalent ligand with optimized affinities. Results are normalized to the selectivity imparted when the dead ligand is non-binding (Fig.</w:t>
      </w:r>
      <w:r>
        <w:t xml:space="preserve"> </w:t>
      </w:r>
      <w:hyperlink w:anchor="fig:combination">
        <w:r>
          <w:rPr>
            <w:rStyle w:val="Hyperlink"/>
          </w:rPr>
          <w:t xml:space="preserve">6</w:t>
        </w:r>
      </w:hyperlink>
      <w:r>
        <w:t xml:space="preserve">s). We see here that enhanced selectivity can be achieved by these means, as the dead ligand blocks many of the available receptors on populations expressing higher abundances (Fig.</w:t>
      </w:r>
      <w:r>
        <w:t xml:space="preserve"> </w:t>
      </w:r>
      <w:hyperlink w:anchor="fig:mixture">
        <w:r>
          <w:rPr>
            <w:rStyle w:val="Hyperlink"/>
          </w:rPr>
          <w:t xml:space="preserve">4</w:t>
        </w:r>
      </w:hyperlink>
      <w:r>
        <w:t xml:space="preserve">u).</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(Fig.</w:t>
      </w:r>
      <w:r>
        <w:t xml:space="preserve"> </w:t>
      </w:r>
      <w:hyperlink w:anchor="fig:combination">
        <w:r>
          <w:rPr>
            <w:rStyle w:val="Hyperlink"/>
          </w:rPr>
          <w:t xml:space="preserve">6</w:t>
        </w:r>
      </w:hyperlink>
      <w:r>
        <w:t xml:space="preserve">m-r). Therefore, we wondered if binding competition with a receptor antagonist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The selectivity toward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was improved by combining the therapeutic with a tetravalent antagonist with similar affinities for receptor one and two (Fig.</w:t>
      </w:r>
      <w:r>
        <w:t xml:space="preserve"> </w:t>
      </w:r>
      <w:hyperlink w:anchor="fig:deadLig">
        <w:r>
          <w:rPr>
            <w:rStyle w:val="Hyperlink"/>
          </w:rPr>
          <w:t xml:space="preserve">7</w:t>
        </w:r>
      </w:hyperlink>
      <w:r>
        <w:t xml:space="preserve">a). The mechanism which is responsible for this, and which allows for combinations of monovalent agonistic ligands and multivalent antagonistic ligands to uniquely target populations expressing small or intermediate amounts of receptors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e).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f).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c,g).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We compared a few different strategies, including changes to affinity, ligand valency, mixtures of species, multi-specificity, and these in combination. Our analysis was performed using a representative set of theoretical cell populations defined by their distinct expression of two receptors. We identified that each strategy helped to enhance specificity, but only in certain situations. The specific benefits of each strategy meant that their combination led to synergistic specificity enhancements.</w:t>
      </w:r>
    </w:p>
    <w:p>
      <w:pPr>
        <w:pStyle w:val="BodyText"/>
      </w:pPr>
      <w:r>
        <w:t xml:space="preserve">Each strategy’s contribution could be summarized by general patterns. We found that affinity changes were most effective when the target and off-target populations expressed distinct combinations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increased the binding selectivity, with greater differences in receptor patterns corresponding to greater benefits. When target and off-target populations had similar receptor expression profiles and only differed in amounts, valency, but not affinity, changes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16</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complement binding to small-molecule therapeutics with αvβ3 binding domains, which is expressed at higher densities on tumor cells, and ⍺-Gal binding domains which are recognized by multivalent human anti-α-galactosyl antibodies.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of an engineered molecular a priori is almost unattainable. Moreover, it is very likely altering the affinity of a ligand to the receptor of interest can change the affinity of it to other receptors, which may offset the intended benefit in improving selectivity. Also, the change in the receptor expression profile of a cell population complicates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w:t>
      </w:r>
      <w:r>
        <w:t xml:space="preserve"> </w:t>
      </w:r>
      <w:r>
        <w:t xml:space="preserve">“</w:t>
      </w:r>
      <w:r>
        <w:t xml:space="preserve">dead</w:t>
      </w:r>
      <w:r>
        <w:t xml:space="preserve">”</w:t>
      </w:r>
      <w:r>
        <w:t xml:space="preserve"> </w:t>
      </w:r>
      <w:r>
        <w:t xml:space="preserve">ligands, which bind but do not induce a response, and monovalent</w:t>
      </w:r>
      <w:r>
        <w:t xml:space="preserve"> </w:t>
      </w:r>
      <w:r>
        <w:t xml:space="preserve">“</w:t>
      </w:r>
      <w:r>
        <w:t xml:space="preserve">live</w:t>
      </w:r>
      <w:r>
        <w:t xml:space="preserve">”</w:t>
      </w:r>
      <w:r>
        <w:t xml:space="preserve"> </w:t>
      </w:r>
      <w:r>
        <w:t xml:space="preserve">ligands to exploit reduced receptor expression levels, the translation of such a therapeutic to a clinical application remains questionable (Fig.</w:t>
      </w:r>
      <w:r>
        <w:t xml:space="preserve"> </w:t>
      </w:r>
      <w:hyperlink w:anchor="fig:combination">
        <w:r>
          <w:rPr>
            <w:rStyle w:val="Hyperlink"/>
          </w:rPr>
          <w:t xml:space="preserve">6</w:t>
        </w:r>
      </w:hyperlink>
      <w:r>
        <w:t xml:space="preserve"> </w:t>
      </w:r>
      <w:r>
        <w:t xml:space="preserve">s-v).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simple ligand characteristic manipulation. These manipulations can be generally applied to achieve greater selectivity, as well as more precisely guided using a computational binding model. The impressive array of logic described in this study can be applied to guide rational ligand engineering applications.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21</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for mixture composition, 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the affinity constants; the boundaries were</w:t>
      </w:r>
      <w:r>
        <w:t xml:space="preserve"> </w:t>
      </w:r>
      <m:oMath>
        <m:sSup>
          <m:e>
            <m:r>
              <m:t>10</m:t>
            </m:r>
          </m:e>
          <m:sup>
            <m:r>
              <m:t>−</m:t>
            </m:r>
            <m:r>
              <m:t>15</m:t>
            </m:r>
          </m:sup>
        </m:sSup>
        <m:r>
          <m:t>−</m:t>
        </m:r>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for mixture composition, and</w:t>
      </w:r>
      <w:r>
        <w:t xml:space="preserve"> </w:t>
      </w:r>
      <m:oMath>
        <m:sSup>
          <m:e>
            <m:r>
              <m:t>10</m:t>
            </m:r>
          </m:e>
          <m:sup>
            <m:r>
              <m:t>2</m:t>
            </m:r>
          </m:sup>
        </m:sSup>
        <m:r>
          <m:t>−</m:t>
        </m:r>
        <m:r>
          <m:t>−</m:t>
        </m:r>
        <m:sSup>
          <m:e>
            <m:r>
              <m:t>10</m:t>
            </m:r>
          </m:e>
          <m:sup>
            <m:r>
              <m:t>10</m:t>
            </m:r>
          </m:sup>
        </m:sSup>
        <m:sSup>
          <m:e>
            <m:r>
              <m:rPr>
                <m:sty m:val="p"/>
              </m:rPr>
              <m:t>M</m:t>
            </m:r>
          </m:e>
          <m:sup>
            <m:r>
              <m:rPr>
                <m:sty m:val="p"/>
              </m:rPr>
              <m:t>−</m:t>
            </m:r>
            <m:r>
              <m:rPr>
                <m:sty m:val="p"/>
              </m:rPr>
              <m:t>1</m:t>
            </m:r>
          </m:sup>
        </m:sSup>
      </m:oMath>
      <w:r>
        <w:t xml:space="preserve"> </w:t>
      </w:r>
      <w:r>
        <w:t xml:space="preserve">for the affinity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x</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x</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x</m:t>
        </m:r>
        <m:sSup>
          <m:e>
            <m:r>
              <m:t>10</m:t>
            </m:r>
          </m:e>
          <m:sup>
            <m:r>
              <m:t>−</m:t>
            </m:r>
            <m:r>
              <m:t>12</m:t>
            </m:r>
          </m:sup>
        </m:sSup>
      </m:oMath>
      <w:r>
        <w:t xml:space="preserve">, the association constants for C5 and B22 were found to be</w:t>
      </w:r>
      <w:r>
        <w:t xml:space="preserve"> </w:t>
      </w:r>
      <m:oMath>
        <m:r>
          <m:t>5.78</m:t>
        </m:r>
        <m:r>
          <m:t>x</m:t>
        </m:r>
        <m:sSup>
          <m:e>
            <m:r>
              <m:t>10</m:t>
            </m:r>
          </m:e>
          <m:sup>
            <m:r>
              <m:t>−</m:t>
            </m:r>
            <m:r>
              <m:t>5</m:t>
            </m:r>
          </m:sup>
        </m:sSup>
      </m:oMath>
      <w:r>
        <w:t xml:space="preserve">,</w:t>
      </w:r>
      <w:r>
        <w:t xml:space="preserve"> </w:t>
      </w:r>
      <m:oMath>
        <m:r>
          <m:t>3.08</m:t>
        </m:r>
        <m:r>
          <m:t>x</m:t>
        </m:r>
        <m:sSup>
          <m:e>
            <m:r>
              <m:t>10</m:t>
            </m:r>
          </m:e>
          <m:sup>
            <m:r>
              <m:t>−</m:t>
            </m:r>
            <m:r>
              <m:t>12</m:t>
            </m:r>
          </m:sup>
        </m:sSup>
      </m:oMath>
      <w:r>
        <w:t xml:space="preserve"> </w:t>
      </w:r>
      <w:r>
        <w:t xml:space="preserve">respectively, and ligand to fluorescent conversion factor for C5 and B22 were found to be</w:t>
      </w:r>
      <w:r>
        <w:t xml:space="preserve"> </w:t>
      </w:r>
      <m:oMath>
        <m:r>
          <m:t>5.0</m:t>
        </m:r>
        <m:r>
          <m:t>x</m:t>
        </m:r>
        <m:sSup>
          <m:e>
            <m:r>
              <m:t>10</m:t>
            </m:r>
          </m:e>
          <m:sup>
            <m:r>
              <m:t>−</m:t>
            </m:r>
            <m:r>
              <m:t>2</m:t>
            </m:r>
          </m:sup>
        </m:sSup>
      </m:oMath>
      <w:r>
        <w:t xml:space="preserve"> </w:t>
      </w:r>
      <w:r>
        <w:t xml:space="preserve">and</w:t>
      </w:r>
      <w:r>
        <w:t xml:space="preserve"> </w:t>
      </w:r>
      <m:oMath>
        <m:r>
          <m:t>3.2</m:t>
        </m:r>
        <m:r>
          <m:t>x</m:t>
        </m:r>
        <m:sSup>
          <m:e>
            <m:r>
              <m:t>10</m:t>
            </m:r>
          </m:e>
          <m:sup>
            <m:r>
              <m:t>−</m:t>
            </m:r>
            <m:r>
              <m:t>2</m:t>
            </m:r>
          </m:sup>
        </m:sSup>
      </m:oMath>
      <w:r>
        <w:t xml:space="preserve"> </w:t>
      </w:r>
      <w:r>
        <w:t xml:space="preserve">respectively. b) Predicted fluorescent values for MDA cells expressing</w:t>
      </w:r>
      <w:r>
        <w:t xml:space="preserve"> </w:t>
      </w:r>
      <m:oMath>
        <m:r>
          <m:t>5.2</m:t>
        </m:r>
        <m:r>
          <m:t>x</m:t>
        </m:r>
        <m:sSup>
          <m:e>
            <m:r>
              <m:t>10</m:t>
            </m:r>
          </m:e>
          <m:sup>
            <m:r>
              <m:t>4</m:t>
            </m:r>
          </m:sup>
        </m:sSup>
      </m:oMath>
      <w:r>
        <w:t xml:space="preserve">, SK cells expressing $2.2x</w:t>
      </w:r>
      <m:oMath>
        <m:sSup>
          <m:e>
            <m:r>
              <m:t>10</m:t>
            </m:r>
          </m:e>
          <m:sup>
            <m:r>
              <m:t>5</m:t>
            </m:r>
          </m:sup>
        </m:sSup>
      </m:oMath>
      <w:r>
        <w:t xml:space="preserve">, LNCaP cells expressing</w:t>
      </w:r>
      <w:r>
        <w:t xml:space="preserve"> </w:t>
      </w:r>
      <m:oMath>
        <m:r>
          <m:t>2.8</m:t>
        </m:r>
        <m:r>
          <m:t>x</m:t>
        </m:r>
        <m:sSup>
          <m:e>
            <m:r>
              <m:t>10</m:t>
            </m:r>
          </m:e>
          <m:sup>
            <m:r>
              <m:t>6</m:t>
            </m:r>
          </m:sup>
        </m:sSup>
      </m:oMath>
      <w:r>
        <w:t xml:space="preserve">, and MCF-7 cells expressing</w:t>
      </w:r>
      <w:r>
        <w:t xml:space="preserve"> </w:t>
      </w:r>
      <m:oMath>
        <m:r>
          <m:t>3.8</m:t>
        </m:r>
        <m:r>
          <m:t>x</m:t>
        </m:r>
        <m:sSup>
          <m:e>
            <m:r>
              <m:t>10</m:t>
            </m:r>
          </m:e>
          <m:sup>
            <m:r>
              <m:t>6</m:t>
            </m:r>
          </m:sup>
        </m:sSup>
      </m:oMath>
      <w:r>
        <w:t xml:space="preserve"> </w:t>
      </w:r>
      <w:r>
        <w:t xml:space="preserve">receptors per cell 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x</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x</m:t>
        </m:r>
        <m:sSup>
          <m:e>
            <m:r>
              <m:t>10</m:t>
            </m:r>
          </m:e>
          <m:sup>
            <m:r>
              <m:t>−</m:t>
            </m:r>
            <m:r>
              <m:t>12</m:t>
            </m:r>
          </m:sup>
        </m:sSup>
      </m:oMath>
      <w:r>
        <w:t xml:space="preserve">, the association constants for C5 and B22 were found to be</w:t>
      </w:r>
      <w:r>
        <w:t xml:space="preserve"> </w:t>
      </w:r>
      <m:oMath>
        <m:r>
          <m:t>5.78</m:t>
        </m:r>
        <m:r>
          <m:t>x</m:t>
        </m:r>
        <m:sSup>
          <m:e>
            <m:r>
              <m:t>10</m:t>
            </m:r>
          </m:e>
          <m:sup>
            <m:r>
              <m:t>−</m:t>
            </m:r>
            <m:r>
              <m:t>5</m:t>
            </m:r>
          </m:sup>
        </m:sSup>
      </m:oMath>
      <w:r>
        <w:t xml:space="preserve">,</w:t>
      </w:r>
      <w:r>
        <w:t xml:space="preserve"> </w:t>
      </w:r>
      <m:oMath>
        <m:r>
          <m:t>3.08</m:t>
        </m:r>
        <m:r>
          <m:t>x</m:t>
        </m:r>
        <m:sSup>
          <m:e>
            <m:r>
              <m:t>10</m:t>
            </m:r>
          </m:e>
          <m:sup>
            <m:r>
              <m:t>−</m:t>
            </m:r>
            <m:r>
              <m:t>12</m:t>
            </m:r>
          </m:sup>
        </m:sSup>
      </m:oMath>
      <w:r>
        <w:t xml:space="preserve"> </w:t>
      </w:r>
      <w:r>
        <w:t xml:space="preserve">respectively, and ligand to fluorescent conversion factor for C5 and B22 were found to be</w:t>
      </w:r>
      <w:r>
        <w:t xml:space="preserve"> </w:t>
      </w:r>
      <m:oMath>
        <m:r>
          <m:t>5.0</m:t>
        </m:r>
        <m:r>
          <m:t>x</m:t>
        </m:r>
        <m:sSup>
          <m:e>
            <m:r>
              <m:t>10</m:t>
            </m:r>
          </m:e>
          <m:sup>
            <m:r>
              <m:t>−</m:t>
            </m:r>
            <m:r>
              <m:t>2</m:t>
            </m:r>
          </m:sup>
        </m:sSup>
      </m:oMath>
      <w:r>
        <w:t xml:space="preserve"> </w:t>
      </w:r>
      <w:r>
        <w:t xml:space="preserve">and</w:t>
      </w:r>
      <w:r>
        <w:t xml:space="preserve"> </w:t>
      </w:r>
      <m:oMath>
        <m:r>
          <m:t>3.2</m:t>
        </m:r>
        <m:r>
          <m:t>x</m:t>
        </m:r>
        <m:sSup>
          <m:e>
            <m:r>
              <m:t>10</m:t>
            </m:r>
          </m:e>
          <m:sup>
            <m:r>
              <m:t>−</m:t>
            </m:r>
            <m:r>
              <m:t>2</m:t>
            </m:r>
          </m:sup>
        </m:sSup>
      </m:oMath>
      <w:r>
        <w:t xml:space="preserve"> </w:t>
      </w:r>
      <w:r>
        <w:t xml:space="preserve">respectively. b) Predicted fluorescent values for MDA cells expressing</w:t>
      </w:r>
      <w:r>
        <w:t xml:space="preserve"> </w:t>
      </w:r>
      <m:oMath>
        <m:r>
          <m:t>5.2</m:t>
        </m:r>
        <m:r>
          <m:t>x</m:t>
        </m:r>
        <m:sSup>
          <m:e>
            <m:r>
              <m:t>10</m:t>
            </m:r>
          </m:e>
          <m:sup>
            <m:r>
              <m:t>4</m:t>
            </m:r>
          </m:sup>
        </m:sSup>
      </m:oMath>
      <w:r>
        <w:t xml:space="preserve">, SK cells expressing $2.2x</w:t>
      </w:r>
      <m:oMath>
        <m:sSup>
          <m:e>
            <m:r>
              <m:t>10</m:t>
            </m:r>
          </m:e>
          <m:sup>
            <m:r>
              <m:t>5</m:t>
            </m:r>
          </m:sup>
        </m:sSup>
      </m:oMath>
      <w:r>
        <w:t xml:space="preserve">, LNCaP cells expressing</w:t>
      </w:r>
      <w:r>
        <w:t xml:space="preserve"> </w:t>
      </w:r>
      <m:oMath>
        <m:r>
          <m:t>2.8</m:t>
        </m:r>
        <m:r>
          <m:t>x</m:t>
        </m:r>
        <m:sSup>
          <m:e>
            <m:r>
              <m:t>10</m:t>
            </m:r>
          </m:e>
          <m:sup>
            <m:r>
              <m:t>6</m:t>
            </m:r>
          </m:sup>
        </m:sSup>
      </m:oMath>
      <w:r>
        <w:t xml:space="preserve">, and MCF-7 cells expressing</w:t>
      </w:r>
      <w:r>
        <w:t xml:space="preserve"> </w:t>
      </w:r>
      <m:oMath>
        <m:r>
          <m:t>3.8</m:t>
        </m:r>
        <m:r>
          <m:t>x</m:t>
        </m:r>
        <m:sSup>
          <m:e>
            <m:r>
              <m:t>10</m:t>
            </m:r>
          </m:e>
          <m:sup>
            <m:r>
              <m:t>6</m:t>
            </m:r>
          </m:sup>
        </m:sSup>
      </m:oMath>
      <w:r>
        <w:t xml:space="preserve"> </w:t>
      </w:r>
      <w:r>
        <w:t xml:space="preserve">receptors per cell 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IanZRiFA"/>
    <w:p>
      <w:pPr>
        <w:pStyle w:val="Bibliography"/>
      </w:pPr>
      <w:r>
        <w:t xml:space="preserve">16.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luDqQ0zL"/>
    <w:p>
      <w:pPr>
        <w:pStyle w:val="Bibliography"/>
      </w:pPr>
      <w:r>
        <w:t xml:space="preserve">18.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8"/>
    <w:bookmarkStart w:id="79" w:name="ref-eR2h4yr3"/>
    <w:p>
      <w:pPr>
        <w:pStyle w:val="Bibliography"/>
      </w:pPr>
      <w:r>
        <w:t xml:space="preserve">19.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79"/>
    <w:bookmarkStart w:id="80" w:name="ref-8lU1hNlA"/>
    <w:p>
      <w:pPr>
        <w:pStyle w:val="Bibliography"/>
      </w:pPr>
      <w:r>
        <w:t xml:space="preserve">20.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0"/>
    <w:bookmarkStart w:id="81" w:name="ref-11gk5tUo7"/>
    <w:p>
      <w:pPr>
        <w:pStyle w:val="Bibliography"/>
      </w:pPr>
      <w:r>
        <w:t xml:space="preserve">21.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2020-10-02T21:27:39Z</dcterms:created>
  <dcterms:modified xsi:type="dcterms:W3CDTF">2020-10-02T21:27:39Z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2020-10-02</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