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19,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toxicity. Specific cell targeting is a universal challenge in protein-based therapies.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among heterogeneous cell populations. While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this heterogeneity impedes our effort of creating a highly specific drug. The intricacies of both inter-population receptor expression difference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Non-cellular therapies such as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improvements in cell-specific targeting.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off-target cells binding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 This situation might correspond to some cue inducing expression of a receptor, such as interferon-induced upregulation of MHC and regulatory T cell upregulation of IL-2R⍺.</w:t>
      </w:r>
      <w:hyperlink w:anchor="ref-11Hb1fNV6">
        <w:r>
          <w:rPr>
            <w:rStyle w:val="Hyperlink"/>
            <w:vertAlign w:val="superscript"/>
          </w:rPr>
          <w:t xml:space="preserve">15</w:t>
        </w:r>
      </w:hyperlink>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rPr>
            <m:sty m:val="p"/>
          </m:rPr>
          <m:t>μ</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When a target cell population expresses a receptor not expressed by off-target cell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amounts (Fig.</w:t>
      </w:r>
      <w:r>
        <w:t xml:space="preserve"> </w:t>
      </w:r>
      <w:hyperlink w:anchor="fig:affinity">
        <w:r>
          <w:rPr>
            <w:rStyle w:val="Hyperlink"/>
          </w:rPr>
          <w:t xml:space="preserve">2</w:t>
        </w:r>
      </w:hyperlink>
      <w:r>
        <w:t xml:space="preserve">c,d). Becuase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when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Previous work has shown that our binding model can accurately predict the complicated multivalent binding process between IgG antibodies and Fcγ receptors.</w:t>
      </w:r>
      <w:hyperlink w:anchor="ref-11gk5tUo7">
        <w:r>
          <w:rPr>
            <w:rStyle w:val="Hyperlink"/>
            <w:vertAlign w:val="superscript"/>
          </w:rPr>
          <w:t xml:space="preserve">16</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17</w:t>
        </w:r>
      </w:hyperlink>
      <w:r>
        <w:t xml:space="preserve"> </w:t>
      </w:r>
      <w:r>
        <w:t xml:space="preserve">After fitting to determine the crosslinking coefficient and receptor affinity values, our model was able to accurately match the binding of nanorings with four or eight binding units to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18</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w:t>
      </w:r>
      <w:r>
        <w:t xml:space="preserve">and the valency of the ligand is varied across subplots. It is shown that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is shown by our model, and as many previous studies have suggested, multi-valent ligands can demonstrate particular selectivity to target populations with high receptor abundances when their subunits have low affinity to the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amount of receptors no higher than its valency, which we will refer to as its binding degree. Our model allowed us to identify the mechanism of valency-mediated receptor abundance selectivity by examining the distribution of ligands bound at each degree to different cells.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bound by having them binding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Therefore, it is important to understand how mixtures of complexes influence the overall response.</w:t>
      </w:r>
    </w:p>
    <w:p>
      <w:pPr>
        <w:pStyle w:val="BodyText"/>
      </w:pPr>
      <w:r>
        <w:t xml:space="preserve">To evaluate the contribution of mixtures, we evaluated model-predicted binding while varying the composition between two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16</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example to explore the unique benefit of multispecificity distinct from any strategy analyzed before. Here, we compare bispecificity with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We investigated if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For the heterovalent bispecific case, ligand fully bound will only account for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concavity of contour lines indicates that for bispecific complexes, double-positive cells bind more ligands fully than singly-positively expressed cells.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It describes how easily a multivalent ligand bound to a cell monovalently can attain secondary binding. Typically in biochemistry, when there is less steric hindrance among the subunits of a multivalent drug molecule (e.g. longer tether and smaller subunit size), or when there is local receptor clustering on the target cell, secondary binding will be easier to achieve, corresponding to larger</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compared the selectivities between some chosen target-to-off-target cell population pairs under bispecific drugs versus another drugs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the selectivities imparted by a bispecific drug divided by the selectivities from a drug mixture of either monovalent (Fig.</w:t>
      </w:r>
      <w:r>
        <w:t xml:space="preserve"> </w:t>
      </w:r>
      <w:hyperlink w:anchor="fig:bispecific">
        <w:r>
          <w:rPr>
            <w:rStyle w:val="Hyperlink"/>
          </w:rPr>
          <w:t xml:space="preserve">5</w:t>
        </w:r>
      </w:hyperlink>
      <w:r>
        <w:t xml:space="preserve">g) or homogeneous bivalent (Fig.</w:t>
      </w:r>
      <w:r>
        <w:t xml:space="preserve"> </w:t>
      </w:r>
      <w:hyperlink w:anchor="fig:bispecific">
        <w:r>
          <w:rPr>
            <w:rStyle w:val="Hyperlink"/>
          </w:rPr>
          <w:t xml:space="preserve">5</w:t>
        </w:r>
      </w:hyperlink>
      <w:r>
        <w:t xml:space="preserve">h). When these quotients are larger, it implies that fully bound bispecific ligand has much larger more advantages than its counterpart to impart selective binding for the chosen target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mathematical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for ligand characteristics to vary within biologically plausible bounds; which characteristics we allowed to vary defined our examination of the efficacy of our various ligand engineering strategies (Fig.</w:t>
      </w:r>
      <w:r>
        <w:t xml:space="preserve"> </w:t>
      </w:r>
      <w:hyperlink w:anchor="fig:combination">
        <w:r>
          <w:rPr>
            <w:rStyle w:val="Hyperlink"/>
          </w:rPr>
          <w:t xml:space="preserve">6</w:t>
        </w:r>
      </w:hyperlink>
      <w:r>
        <w:t xml:space="preserve">). To simulate the effects of affinity engineering, we allowed ligand-receptor affinities to vary. To understand the effects of valency and mixture engineering on selectivity, we allowed ligand valency and ligand mixture composition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engineering is unable to impart some small contributions to enhanced selectivity, significant improvement is only achieved when utilizing valency modulation techniques.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any modulation of affinity, valency or combining it with mixture-based strategies seems ineffective. It should be noted that in all described cases, engineering the composition of a mixture of ligands is generaly ineffective for imparting selectivity when the ligand’s design specifications are flexible, and is likely only efficacious when using ligands with static properties and considering multiple off-target populations.</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Increasing the affinity of the ligand for those receptors that are more abundantly expressed on the target cells, and decreasing its affinity for those that are not enhanced the binding selectivity. Greater differences in receptor expression levels between on- and off-target populations corresponded to greater benefits to selectivity when modulating ligand affinties. When target and off-target populations had expressed an identical set of receptors and only differed in receptor abundances, modulations in valency were effective, where changes to only affinity were not (Fig.</w:t>
      </w:r>
      <w:r>
        <w:t xml:space="preserve"> </w:t>
      </w:r>
      <w:hyperlink w:anchor="fig:valency">
        <w:r>
          <w:rPr>
            <w:rStyle w:val="Hyperlink"/>
          </w:rPr>
          <w:t xml:space="preserve">3</w:t>
        </w:r>
      </w:hyperlink>
      <w:r>
        <w:t xml:space="preserve">). A key determinant of valency change efficacy was the secondary binding and unbinding rate which was greatly dependent on the kinetics of the receptor-ligand interactions and the difference in receptor abundance. Mixtures of therapeutic ligands were found to be mostly ineffective in imparting binding selectivity, and only had modest benefits when multiple off-target populations were considered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 (Fig.</w:t>
      </w:r>
      <w:r>
        <w:t xml:space="preserve"> </w:t>
      </w:r>
      <w:hyperlink w:anchor="fig:deadLig">
        <w:r>
          <w:rPr>
            <w:rStyle w:val="Hyperlink"/>
          </w:rPr>
          <w:t xml:space="preserve">7</w:t>
        </w:r>
      </w:hyperlink>
      <w:r>
        <w:t xml:space="preserve">).</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selective binding to. For example, target populations that unilaterally express fewer receptors of every type than off-target populations present a unique challenge for the design of a selective ligand. While we computationally show the potential for the simultaneous use of multivalent antagonistic ligands, which bind but do not induce a response, and monovalent agonists to exploit reduced receptor expression levels, the translation of such a therapeutic to a clinical application remains questionable.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18</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interactions between antibodies and therapeutic bound to receptors most prevalently expressed on tumor cells.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and precise modulation is difficult to attain.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the expression of certain receptors. In this case, not only should the abundance of receptors be considered, but also their variance within a cell population over time.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relatively simple ligand characteristic manipulation. This study lays the framework for how protein engineering specifications can be defined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16</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rPr>
            <m:sty m:val="p"/>
          </m:rPr>
          <m:t>m</m:t>
        </m:r>
        <m:r>
          <m:rPr>
            <m:sty m:val="p"/>
          </m:rPr>
          <m:t>M</m:t>
        </m:r>
        <m:r>
          <m:t>∼</m:t>
        </m:r>
        <m:r>
          <m:t>0.1</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11gk5tUo7"/>
    <w:p>
      <w:pPr>
        <w:pStyle w:val="Bibliography"/>
      </w:pPr>
      <w:r>
        <w:t xml:space="preserve">16.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IanZRiFA"/>
    <w:p>
      <w:pPr>
        <w:pStyle w:val="Bibliography"/>
      </w:pPr>
      <w:r>
        <w:t xml:space="preserve">18.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2020-10-20T01:41:06Z</dcterms:created>
  <dcterms:modified xsi:type="dcterms:W3CDTF">2020-10-20T01:41:06Z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2020-10-19</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