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13,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The binding between monomer ligands and receptors at equilibrium can be depicted by their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only differ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lower affinity, multi-valent interactions can result in particular selectivity for target populations expressing high abundances of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considered the selectivity for a particular population, while considering all other populations as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could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enhanced the binding selectivity, with greater differences in receptor patterns corresponding to greater benefits. When target and off-target populations had expressed an identical set of receptors, and only differed in receptor abundances, modulations in valency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of ligand binding behavior.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is extremely difficult. Moreover, it is very likely altering the affinity of a ligand to a receptor of interest can change its affinity for other receptors, which may offset the intended benefit in improving selectivity.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2020-10-14T01:07:26Z</dcterms:created>
  <dcterms:modified xsi:type="dcterms:W3CDTF">2020-10-14T01:07:26Z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