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14,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In a binding reaction, a multivalent ligand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valency, and mixture engineering are able to impart some small contributions to enhanced selectivity, significant improvement is only achieved when combining them all.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A key determinant of valency change efficacy was the secondary binding and unbinding rate which was greatly dependent on the kinetics of the receptor-ligand interactions and the difference in receptor abundance. Mixtures of therapeutic ligands were found to be mostly ineffective in imparting binding selectivity, and only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 (Fig.</w:t>
      </w:r>
      <w:r>
        <w:t xml:space="preserve"> </w:t>
      </w:r>
      <w:hyperlink w:anchor="fig:deadLig">
        <w:r>
          <w:rPr>
            <w:rStyle w:val="Hyperlink"/>
          </w:rPr>
          <w:t xml:space="preserve">7</w:t>
        </w:r>
      </w:hyperlink>
      <w:r>
        <w:t xml:space="preserve">).</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2020-10-14T18:43:55Z</dcterms:created>
  <dcterms:modified xsi:type="dcterms:W3CDTF">2020-10-14T18:43:55Z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2020-10-14</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