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25, 2020.</w:t>
      </w:r>
      <w:r>
        <w:t xml:space="preserve"> </w:t>
      </w:r>
    </w:p>
    <w:p>
      <w:pPr>
        <w:pStyle w:val="Heading2"/>
      </w:pPr>
      <w:bookmarkStart w:id="20" w:name="authors"/>
      <w:r>
        <w:t xml:space="preserve">Authors</w:t>
      </w:r>
      <w:bookmarkEnd w:id="20"/>
    </w:p>
    <w:p>
      <w:pPr>
        <w:numPr>
          <w:ilvl w:val="0"/>
          <w:numId w:val="1001"/>
        </w:numPr>
      </w:pPr>
      <w:r>
        <w:rPr>
          <w:b/>
        </w:rPr>
        <w:t xml:space="preserve">Zhixin Cyrillus Tan</w:t>
      </w:r>
      <w:r>
        <w:t xml:space="preserve"> </w:t>
      </w:r>
      <w:r>
        <w:t xml:space="preserve">ORCID</w:t>
      </w:r>
      <w:r>
        <w:t xml:space="preserve"> </w:t>
      </w:r>
      <w:hyperlink r:id="rId21">
        <w:r>
          <w:rPr>
            <w:rStyle w:val="Hyperlink"/>
          </w:rPr>
          <w:t xml:space="preserve">0000-0002-5498-5509</w:t>
        </w:r>
      </w:hyperlink>
      <w:r>
        <w:t xml:space="preserve"> </w:t>
      </w:r>
      <w:r>
        <w:t xml:space="preserve">· Github</w:t>
      </w:r>
      <w:r>
        <w:t xml:space="preserve"> </w:t>
      </w:r>
      <w:hyperlink r:id="rId22">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3">
        <w:r>
          <w:rPr>
            <w:rStyle w:val="Hyperlink"/>
          </w:rPr>
          <w:t xml:space="preserve">0000-0002-1436-1224</w:t>
        </w:r>
      </w:hyperlink>
      <w:r>
        <w:t xml:space="preserve"> </w:t>
      </w:r>
      <w:r>
        <w:t xml:space="preserve">· Github</w:t>
      </w:r>
      <w:r>
        <w:t xml:space="preserve"> </w:t>
      </w:r>
      <w:hyperlink r:id="rId24">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t> </m:t>
        </m:r>
        <m:r>
          <m:rPr>
            <m:sty m:val="p"/>
          </m:rPr>
          <m:t>n</m:t>
        </m:r>
        <m:r>
          <m:rPr>
            <m:sty m:val="p"/>
          </m:rPr>
          <m:t>M</m:t>
        </m:r>
      </m:oMath>
      <w:r>
        <w:t xml:space="preserve">, and its dissociation constants to the two receptors to be</w:t>
      </w:r>
      <w:r>
        <w:t xml:space="preserve"> </w:t>
      </w:r>
      <m:oMath>
        <m:r>
          <m:t>10</m:t>
        </m:r>
        <m:r>
          <m:t> </m:t>
        </m:r>
        <m:r>
          <m:rPr>
            <m:sty m:val="p"/>
          </m:rPr>
          <m:t>μ</m:t>
        </m:r>
        <m:r>
          <m:rPr>
            <m:sty m:val="p"/>
          </m:rPr>
          <m:t>M</m:t>
        </m:r>
      </m:oMath>
      <w:r>
        <w:t xml:space="preserve"> </w:t>
      </w:r>
      <w:r>
        <w:t xml:space="preserve">and</w:t>
      </w:r>
      <w:r>
        <w:t xml:space="preserve"> </w:t>
      </w:r>
      <m:oMath>
        <m:r>
          <m:t>100</m:t>
        </m:r>
        <m:r>
          <m:t> </m:t>
        </m:r>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11Hb1fNV6">
        <w:r>
          <w:rPr>
            <w:rStyle w:val="Hyperlink"/>
            <w:vertAlign w:val="superscript"/>
          </w:rPr>
          <w:t xml:space="preserve">15</w:t>
        </w:r>
      </w:hyperlink>
      <w:r>
        <w:t xml:space="preserve"> </w:t>
      </w:r>
      <w:r>
        <w:t xml:space="preserve">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VKATSjfe">
        <w:r>
          <w:rPr>
            <w:rStyle w:val="Hyperlink"/>
            <w:vertAlign w:val="superscript"/>
          </w:rPr>
          <w:t xml:space="preserve">16</w:t>
        </w:r>
      </w:hyperlink>
      <w:r>
        <w:t xml:space="preserve"> </w:t>
      </w:r>
      <w:r>
        <w:t xml:space="preserve">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t> </m:t>
        </m:r>
        <m:r>
          <m:rPr>
            <m:sty m:val="p"/>
          </m:rPr>
          <m:t>μ</m:t>
        </m:r>
        <m:r>
          <m:rPr>
            <m:sty m:val="p"/>
          </m:rPr>
          <m:t>M</m:t>
        </m:r>
      </m:oMath>
      <w:r>
        <w:t xml:space="preserve"> </w:t>
      </w:r>
      <w:r>
        <w:t xml:space="preserve">to</w:t>
      </w:r>
      <w:r>
        <w:t xml:space="preserve"> </w:t>
      </w:r>
      <m:oMath>
        <m:r>
          <m:t>100</m:t>
        </m:r>
        <m:r>
          <m:t> </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as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multivalent binding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a set of published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receptor density, allowing multivalent ligands to potentially selectively target cells based on receptor abundance.</w:t>
      </w:r>
      <w:hyperlink w:anchor="ref-IanZRiFA">
        <w:r>
          <w:rPr>
            <w:rStyle w:val="Hyperlink"/>
            <w:vertAlign w:val="superscript"/>
          </w:rPr>
          <w:t xml:space="preserve">19</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number of receptors up to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t> </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t> </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t> </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20</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21</w:t>
        </w:r>
      </w:hyperlink>
      <w:r>
        <w:t xml:space="preserve"> </w:t>
      </w:r>
      <w:r>
        <w:t xml:space="preserve">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22</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t> </m:t>
        </m:r>
        <m:r>
          <m:rPr>
            <m:sty m:val="p"/>
          </m:rPr>
          <m:t>μ</m:t>
        </m:r>
        <m:r>
          <m:rPr>
            <m:sty m:val="p"/>
          </m:rPr>
          <m:t>M</m:t>
        </m:r>
      </m:oMath>
      <w:r>
        <w:t xml:space="preserve"> </w:t>
      </w:r>
      <w:r>
        <w:t xml:space="preserve">and</w:t>
      </w:r>
      <w:r>
        <w:t xml:space="preserve"> </w:t>
      </w:r>
      <m:oMath>
        <m:r>
          <m:t>10</m:t>
        </m:r>
        <m:r>
          <m:t> </m:t>
        </m:r>
        <m:r>
          <m:rPr>
            <m:sty m:val="p"/>
          </m:rPr>
          <m:t>μ</m:t>
        </m:r>
        <m:r>
          <m:rPr>
            <m:sty m:val="p"/>
          </m:rPr>
          <m:t>M</m:t>
        </m:r>
      </m:oMath>
      <w:r>
        <w:t xml:space="preserve"> </w:t>
      </w:r>
      <w:r>
        <w:t xml:space="preserve">respectively, and ligand 2 binding to receptors 1 and 2 with dissociation constants of</w:t>
      </w:r>
      <w:r>
        <w:t xml:space="preserve"> </w:t>
      </w:r>
      <m:oMath>
        <m:r>
          <m:t>10</m:t>
        </m:r>
        <m:r>
          <m:t> </m:t>
        </m:r>
        <m:r>
          <m:rPr>
            <m:sty m:val="p"/>
          </m:rPr>
          <m:t>μ</m:t>
        </m:r>
        <m:r>
          <m:rPr>
            <m:sty m:val="p"/>
          </m:rPr>
          <m:t>M</m:t>
        </m:r>
      </m:oMath>
      <w:r>
        <w:t xml:space="preserve"> </w:t>
      </w:r>
      <w:r>
        <w:t xml:space="preserve">and</w:t>
      </w:r>
      <w:r>
        <w:t xml:space="preserve"> </w:t>
      </w:r>
      <m:oMath>
        <m:r>
          <m:t>1</m:t>
        </m:r>
        <m:r>
          <m:t> </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t> </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23</w:t>
        </w:r>
      </w:hyperlink>
      <w:r>
        <w:t xml:space="preserve"> </w:t>
      </w:r>
      <w:r>
        <w:t xml:space="preserve">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18yoQOgm4">
        <w:r>
          <w:rPr>
            <w:rStyle w:val="Hyperlink"/>
            <w:vertAlign w:val="superscript"/>
          </w:rPr>
          <w:t xml:space="preserve">24</w:t>
        </w:r>
      </w:hyperlink>
      <w:r>
        <w:rPr>
          <w:vertAlign w:val="superscript"/>
        </w:rPr>
        <w:t xml:space="preserve">,</w:t>
      </w:r>
      <w:hyperlink w:anchor="ref-y7JtEfom">
        <w:r>
          <w:rPr>
            <w:rStyle w:val="Hyperlink"/>
            <w:vertAlign w:val="superscript"/>
          </w:rPr>
          <w:t xml:space="preserve">25</w:t>
        </w:r>
      </w:hyperlink>
      <w:r>
        <w:t xml:space="preserve"> </w:t>
      </w:r>
      <w:r>
        <w:t xml:space="preserve">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convex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convexity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uVvF8Fgs">
        <w:r>
          <w:rPr>
            <w:rStyle w:val="Hyperlink"/>
            <w:vertAlign w:val="superscript"/>
          </w:rPr>
          <w:t xml:space="preserve">26</w:t>
        </w:r>
      </w:hyperlink>
      <w:r>
        <w:t xml:space="preserve"> </w:t>
      </w:r>
      <w:r>
        <w:t xml:space="preserve">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25</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(ligand bound on target population divided by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t> </m:t>
        </m:r>
        <m:r>
          <m:rPr>
            <m:sty m:val="p"/>
          </m:rPr>
          <m:t>μ</m:t>
        </m:r>
        <m:r>
          <m:rPr>
            <m:sty m:val="p"/>
          </m:rPr>
          <m:t>M</m:t>
        </m:r>
      </m:oMath>
      <w:r>
        <w:t xml:space="preserve"> </w:t>
      </w:r>
      <w:r>
        <w:t xml:space="preserve">for both receptor 1 and 2. The dissociation constant was allowed to vary between</w:t>
      </w:r>
      <w:r>
        <w:t xml:space="preserve"> </w:t>
      </w:r>
      <m:oMath>
        <m:r>
          <m:t>10</m:t>
        </m:r>
        <m:r>
          <m:t> </m:t>
        </m:r>
        <m:r>
          <m:rPr>
            <m:sty m:val="p"/>
          </m:rPr>
          <m:t>m</m:t>
        </m:r>
        <m:r>
          <m:rPr>
            <m:sty m:val="p"/>
          </m:rPr>
          <m:t>M</m:t>
        </m:r>
      </m:oMath>
      <w:r>
        <w:t xml:space="preserve"> </w:t>
      </w:r>
      <w:r>
        <w:t xml:space="preserve">and</w:t>
      </w:r>
      <w:r>
        <w:t xml:space="preserve"> </w:t>
      </w:r>
      <m:oMath>
        <m:r>
          <m:t>0.1</m:t>
        </m:r>
        <m:r>
          <m:t> </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and used it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27</w:t>
        </w:r>
      </w:hyperlink>
      <w:r>
        <w:rPr>
          <w:vertAlign w:val="superscript"/>
        </w:rPr>
        <w:t xml:space="preserve">,</w:t>
      </w:r>
      <w:hyperlink w:anchor="ref-L2k7ECfb">
        <w:r>
          <w:rPr>
            <w:rStyle w:val="Hyperlink"/>
            <w:vertAlign w:val="superscript"/>
          </w:rPr>
          <w:t xml:space="preserve">28</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19</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29</w:t>
        </w:r>
      </w:hyperlink>
      <w:r>
        <w:rPr>
          <w:vertAlign w:val="superscript"/>
        </w:rPr>
        <w:t xml:space="preserve">,</w:t>
      </w:r>
      <w:hyperlink w:anchor="ref-PIRfSNMl">
        <w:r>
          <w:rPr>
            <w:rStyle w:val="Hyperlink"/>
            <w:vertAlign w:val="superscript"/>
          </w:rPr>
          <w:t xml:space="preserve">30</w:t>
        </w:r>
      </w:hyperlink>
      <w:r>
        <w:t xml:space="preserve"> </w:t>
      </w:r>
      <w:r>
        <w:t xml:space="preserve">or downregulating</w:t>
      </w:r>
      <w:hyperlink w:anchor="ref-uMIi8rGN">
        <w:r>
          <w:rPr>
            <w:rStyle w:val="Hyperlink"/>
            <w:vertAlign w:val="superscript"/>
          </w:rPr>
          <w:t xml:space="preserve">31</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guidance within the bounds of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32</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33</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selecting among potential receptor targets,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34</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t> </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oMath>
      <w:r>
        <w:t xml:space="preserve"> </w:t>
      </w:r>
      <w:r>
        <w:t xml:space="preserve">to</w:t>
      </w:r>
      <w:r>
        <w:t xml:space="preserve"> </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t> </m:t>
        </m:r>
        <m:r>
          <m:rPr>
            <m:sty m:val="p"/>
          </m:rPr>
          <m:t>m</m:t>
        </m:r>
        <m:r>
          <m:rPr>
            <m:sty m:val="p"/>
          </m:rPr>
          <m:t>M</m:t>
        </m:r>
      </m:oMath>
      <w:r>
        <w:t xml:space="preserve"> </w:t>
      </w:r>
      <w:r>
        <w:t xml:space="preserve">to</w:t>
      </w:r>
      <w:r>
        <w:t xml:space="preserve"> </w:t>
      </w:r>
      <m:oMath>
        <m:r>
          <m:t>0.1</m:t>
        </m:r>
        <m:r>
          <m:t> </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the sigma point filters,</w:t>
      </w:r>
      <w:hyperlink w:anchor="ref-VKATSjfe">
        <w:r>
          <w:rPr>
            <w:rStyle w:val="Hyperlink"/>
            <w:vertAlign w:val="superscript"/>
          </w:rPr>
          <w:t xml:space="preserve">16</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w:t>
      </w:r>
      <w:r>
        <w:t xml:space="preserve"> </w:t>
      </w:r>
      <m:oMath>
        <m:r>
          <m:t>0.16</m:t>
        </m:r>
        <m:r>
          <m:t>–</m:t>
        </m:r>
        <m:r>
          <m:t>500</m:t>
        </m:r>
        <m:r>
          <m:t> </m:t>
        </m:r>
        <m:r>
          <m:rPr>
            <m:sty m:val="p"/>
          </m:rPr>
          <m:t>n</m:t>
        </m:r>
        <m:r>
          <m:rPr>
            <m:sty m:val="p"/>
          </m:rPr>
          <m:t>M</m:t>
        </m:r>
      </m:oMath>
      <w:r>
        <w:t xml:space="preserve">. C5 and B22 are high and low affinity fibronectin binding domains respectively. Using nonlinear least-squares regression, the crosslinking coefficient was found to be</w:t>
      </w:r>
      <w:r>
        <w:t xml:space="preserve"> </w:t>
      </w:r>
      <m:oMath>
        <m:r>
          <m:t>1.11</m:t>
        </m:r>
        <m:r>
          <m:t>×</m:t>
        </m:r>
        <m:sSup>
          <m:e>
            <m:r>
              <m:t>10</m:t>
            </m:r>
          </m:e>
          <m:sup>
            <m:r>
              <m:t>−</m:t>
            </m:r>
            <m:r>
              <m:t>12</m:t>
            </m:r>
          </m:sup>
        </m:sSup>
      </m:oMath>
      <w:r>
        <w:t xml:space="preserve">; the dissociation constants for C5 and B22 were found to be</w:t>
      </w:r>
      <w:r>
        <w:t xml:space="preserve"> </w:t>
      </w:r>
      <m:oMath>
        <m:r>
          <m:t>1.73</m:t>
        </m:r>
        <m:r>
          <m:t> </m:t>
        </m:r>
        <m:r>
          <m:rPr>
            <m:sty m:val="p"/>
          </m:rPr>
          <m:t>μ</m:t>
        </m:r>
        <m:r>
          <m:rPr>
            <m:sty m:val="p"/>
          </m:rPr>
          <m:t>M</m:t>
        </m:r>
      </m:oMath>
      <w:r>
        <w:t xml:space="preserve"> </w:t>
      </w:r>
      <w:r>
        <w:t xml:space="preserve">and</w:t>
      </w:r>
      <w:r>
        <w:t xml:space="preserve"> </w:t>
      </w:r>
      <m:oMath>
        <m:r>
          <m:t>3.24</m:t>
        </m:r>
        <m:r>
          <m:t> </m:t>
        </m:r>
        <m:r>
          <m:rPr>
            <m:sty m:val="p"/>
          </m:rPr>
          <m:t>μ</m:t>
        </m:r>
        <m:r>
          <m:rPr>
            <m:sty m:val="p"/>
          </m:rPr>
          <m:t>M</m:t>
        </m:r>
      </m:oMath>
      <w:r>
        <w:t xml:space="preserve"> </w:t>
      </w:r>
      <w:r>
        <w:t xml:space="preserve">respectively, and ligand to fluorescent conversion factor for C5 and B22 were found to be</w:t>
      </w:r>
      <w:r>
        <w:t xml:space="preserve"> </w:t>
      </w:r>
      <m:oMath>
        <m:r>
          <m:t>5.1</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6"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VKATSjfe"/>
    <w:p>
      <w:pPr>
        <w:pStyle w:val="Bibliography"/>
      </w:pPr>
      <w:r>
        <w:t xml:space="preserve">16. Merwe, R. van der. Sigma-Point Kalman Filters for Probabilistic Inference in Dynamic State-Space Models. (2004).</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IanZRiFA"/>
    <w:p>
      <w:pPr>
        <w:pStyle w:val="Bibliography"/>
      </w:pPr>
      <w:r>
        <w:t xml:space="preserve">19.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9"/>
    <w:bookmarkStart w:id="80" w:name="ref-luDqQ0zL"/>
    <w:p>
      <w:pPr>
        <w:pStyle w:val="Bibliography"/>
      </w:pPr>
      <w:r>
        <w:t xml:space="preserve">20.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80"/>
    <w:bookmarkStart w:id="81" w:name="ref-eR2h4yr3"/>
    <w:p>
      <w:pPr>
        <w:pStyle w:val="Bibliography"/>
      </w:pPr>
      <w:r>
        <w:t xml:space="preserve">21.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1"/>
    <w:bookmarkStart w:id="82" w:name="ref-8lU1hNlA"/>
    <w:p>
      <w:pPr>
        <w:pStyle w:val="Bibliography"/>
      </w:pPr>
      <w:r>
        <w:t xml:space="preserve">22.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2"/>
    <w:bookmarkStart w:id="83" w:name="ref-iG3t9Py2"/>
    <w:p>
      <w:pPr>
        <w:pStyle w:val="Bibliography"/>
      </w:pPr>
      <w:r>
        <w:t xml:space="preserve">23.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3"/>
    <w:bookmarkStart w:id="84" w:name="ref-18yoQOgm4"/>
    <w:p>
      <w:pPr>
        <w:pStyle w:val="Bibliography"/>
      </w:pPr>
      <w:r>
        <w:t xml:space="preserve">24.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4"/>
    <w:bookmarkStart w:id="85" w:name="ref-y7JtEfom"/>
    <w:p>
      <w:pPr>
        <w:pStyle w:val="Bibliography"/>
      </w:pPr>
      <w:r>
        <w:t xml:space="preserve">25.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5"/>
    <w:bookmarkStart w:id="86" w:name="ref-uVvF8Fgs"/>
    <w:p>
      <w:pPr>
        <w:pStyle w:val="Bibliography"/>
      </w:pPr>
      <w:r>
        <w:t xml:space="preserve">26. Hlavacek, W. S., Posner, R. G. &amp; Perelson, A. S. Steric effects on multivalent ligand-receptor binding: exclusion of ligand sites by bound cell surface receptors.</w:t>
      </w:r>
      <w:r>
        <w:t xml:space="preserve"> </w:t>
      </w:r>
      <w:r>
        <w:rPr>
          <w:i/>
        </w:rPr>
        <w:t xml:space="preserve">Biophys J</w:t>
      </w:r>
      <w:r>
        <w:t xml:space="preserve"> </w:t>
      </w:r>
      <w:r>
        <w:rPr>
          <w:b/>
        </w:rPr>
        <w:t xml:space="preserve">76</w:t>
      </w:r>
      <w:r>
        <w:t xml:space="preserve">, 3031–43 (1999).</w:t>
      </w:r>
    </w:p>
    <w:bookmarkEnd w:id="86"/>
    <w:bookmarkStart w:id="87" w:name="ref-FqWAsZ7z"/>
    <w:p>
      <w:pPr>
        <w:pStyle w:val="Bibliography"/>
      </w:pPr>
      <w:r>
        <w:t xml:space="preserve">27.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7"/>
    <w:bookmarkStart w:id="88" w:name="ref-L2k7ECfb"/>
    <w:p>
      <w:pPr>
        <w:pStyle w:val="Bibliography"/>
      </w:pPr>
      <w:r>
        <w:t xml:space="preserve">28.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8"/>
    <w:bookmarkStart w:id="89" w:name="ref-3WVNxYBN"/>
    <w:p>
      <w:pPr>
        <w:pStyle w:val="Bibliography"/>
      </w:pPr>
      <w:r>
        <w:t xml:space="preserve">29.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9"/>
    <w:bookmarkStart w:id="90" w:name="ref-PIRfSNMl"/>
    <w:p>
      <w:pPr>
        <w:pStyle w:val="Bibliography"/>
      </w:pPr>
      <w:r>
        <w:t xml:space="preserve">30.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90"/>
    <w:bookmarkStart w:id="91" w:name="ref-uMIi8rGN"/>
    <w:p>
      <w:pPr>
        <w:pStyle w:val="Bibliography"/>
      </w:pPr>
      <w:r>
        <w:t xml:space="preserve">31.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91"/>
    <w:bookmarkStart w:id="92" w:name="ref-bi6A2xzH"/>
    <w:p>
      <w:pPr>
        <w:pStyle w:val="Bibliography"/>
      </w:pPr>
      <w:r>
        <w:t xml:space="preserve">32.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2"/>
    <w:bookmarkStart w:id="93" w:name="ref-Fp4dDXV1"/>
    <w:p>
      <w:pPr>
        <w:pStyle w:val="Bibliography"/>
      </w:pPr>
      <w:r>
        <w:t xml:space="preserve">33.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3"/>
    <w:bookmarkStart w:id="95" w:name="ref-8Miti2Gz"/>
    <w:p>
      <w:pPr>
        <w:pStyle w:val="Bibliography"/>
      </w:pPr>
      <w:r>
        <w:t xml:space="preserve">34.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4">
        <w:r>
          <w:rPr>
            <w:rStyle w:val="Hyperlink"/>
          </w:rPr>
          <w:t xml:space="preserve">10.1038/s41592-019-0686-2</w:t>
        </w:r>
      </w:hyperlink>
    </w:p>
    <w:bookmarkEnd w:id="95"/>
    <w:bookmarkEnd w:id="96"/>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4"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4"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4" Target="https://github.com/borcuttjahns" TargetMode="External" /><Relationship Type="http://schemas.openxmlformats.org/officeDocument/2006/relationships/hyperlink" Id="rId22"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3" Target="https://orcid.org/0000-0002-1436-1224" TargetMode="External" /><Relationship Type="http://schemas.openxmlformats.org/officeDocument/2006/relationships/hyperlink" Id="rId21"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2020-11-25T22:23:45Z</dcterms:created>
  <dcterms:modified xsi:type="dcterms:W3CDTF">2020-11-25T22:23:45Z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2020-11-25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